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5E07C19">
      <w:pPr>
        <w:pStyle w:val="25"/>
        <w:jc w:val="center"/>
        <w:rPr>
          <w:rFonts w:ascii="Times New Roman" w:hAnsi="Times New Roman" w:cs="Times New Roman"/>
          <w:b/>
          <w:bCs/>
          <w:spacing w:val="80"/>
          <w:sz w:val="32"/>
          <w:szCs w:val="32"/>
          <w:highlight w:val="none"/>
        </w:rPr>
      </w:pPr>
    </w:p>
    <w:p w14:paraId="4FB458E3">
      <w:pPr>
        <w:pStyle w:val="25"/>
        <w:jc w:val="center"/>
        <w:rPr>
          <w:rFonts w:ascii="Times New Roman" w:hAnsi="Times New Roman" w:cs="Times New Roman"/>
          <w:b/>
          <w:bCs/>
          <w:spacing w:val="80"/>
          <w:sz w:val="32"/>
          <w:szCs w:val="32"/>
          <w:highlight w:val="none"/>
        </w:rPr>
      </w:pPr>
    </w:p>
    <w:p w14:paraId="0E9AE870">
      <w:pPr>
        <w:pStyle w:val="25"/>
        <w:jc w:val="center"/>
        <w:rPr>
          <w:rFonts w:ascii="Times New Roman" w:hAnsi="Times New Roman" w:cs="Times New Roman"/>
          <w:b/>
          <w:bCs/>
          <w:spacing w:val="80"/>
          <w:sz w:val="32"/>
          <w:szCs w:val="32"/>
          <w:highlight w:val="none"/>
        </w:rPr>
      </w:pPr>
    </w:p>
    <w:p w14:paraId="29F7B1B8">
      <w:pPr>
        <w:pStyle w:val="25"/>
        <w:jc w:val="center"/>
        <w:rPr>
          <w:rFonts w:ascii="Times New Roman" w:hAnsi="Times New Roman" w:cs="Times New Roman"/>
          <w:b/>
          <w:bCs/>
          <w:sz w:val="72"/>
          <w:szCs w:val="72"/>
          <w:highlight w:val="none"/>
        </w:rPr>
      </w:pPr>
      <w:r>
        <w:rPr>
          <w:rFonts w:ascii="Times New Roman" w:hAnsi="Times New Roman" w:eastAsia="小标宋" w:cs="Times New Roman"/>
          <w:sz w:val="72"/>
          <w:szCs w:val="72"/>
          <w:highlight w:val="none"/>
        </w:rPr>
        <w:t>磋商文件</w:t>
      </w:r>
    </w:p>
    <w:p w14:paraId="4BD6FC32">
      <w:pPr>
        <w:pStyle w:val="25"/>
        <w:rPr>
          <w:rFonts w:ascii="Times New Roman" w:hAnsi="Times New Roman" w:cs="Times New Roman"/>
          <w:highlight w:val="none"/>
        </w:rPr>
      </w:pPr>
    </w:p>
    <w:p w14:paraId="700F0225">
      <w:pPr>
        <w:pStyle w:val="25"/>
        <w:ind w:firstLine="3885" w:firstLineChars="1850"/>
        <w:rPr>
          <w:rFonts w:ascii="Times New Roman" w:hAnsi="Times New Roman" w:cs="Times New Roman"/>
          <w:highlight w:val="none"/>
        </w:rPr>
      </w:pPr>
    </w:p>
    <w:p w14:paraId="3DEB9B4F">
      <w:pPr>
        <w:pStyle w:val="25"/>
        <w:rPr>
          <w:rFonts w:ascii="Times New Roman" w:hAnsi="Times New Roman" w:cs="Times New Roman"/>
          <w:highlight w:val="none"/>
        </w:rPr>
      </w:pPr>
    </w:p>
    <w:p w14:paraId="45ACECE8">
      <w:pPr>
        <w:pStyle w:val="25"/>
        <w:rPr>
          <w:rFonts w:ascii="Times New Roman" w:hAnsi="Times New Roman" w:cs="Times New Roman"/>
          <w:highlight w:val="none"/>
        </w:rPr>
      </w:pPr>
    </w:p>
    <w:p w14:paraId="64E903C9">
      <w:pPr>
        <w:pStyle w:val="25"/>
        <w:rPr>
          <w:rFonts w:ascii="Times New Roman" w:hAnsi="Times New Roman" w:cs="Times New Roman"/>
          <w:highlight w:val="none"/>
        </w:rPr>
      </w:pPr>
    </w:p>
    <w:p w14:paraId="0E4F55A2">
      <w:pPr>
        <w:pStyle w:val="25"/>
        <w:rPr>
          <w:rFonts w:ascii="Times New Roman" w:hAnsi="Times New Roman" w:cs="Times New Roman"/>
          <w:highlight w:val="none"/>
        </w:rPr>
      </w:pPr>
    </w:p>
    <w:p w14:paraId="57313E9F">
      <w:pPr>
        <w:ind w:firstLine="218" w:firstLineChars="68"/>
        <w:rPr>
          <w:rFonts w:hint="eastAsia"/>
          <w:b/>
          <w:bCs/>
          <w:sz w:val="32"/>
          <w:szCs w:val="32"/>
          <w:highlight w:val="none"/>
        </w:rPr>
      </w:pPr>
      <w:r>
        <w:rPr>
          <w:b/>
          <w:bCs/>
          <w:sz w:val="32"/>
          <w:szCs w:val="32"/>
          <w:highlight w:val="none"/>
        </w:rPr>
        <w:t>项目名称：</w:t>
      </w:r>
      <w:r>
        <w:rPr>
          <w:rFonts w:hint="eastAsia"/>
          <w:b/>
          <w:bCs/>
          <w:sz w:val="32"/>
          <w:szCs w:val="32"/>
          <w:highlight w:val="none"/>
        </w:rPr>
        <w:t>桂林银行采购洗钱风险自评估咨询项目</w:t>
      </w:r>
    </w:p>
    <w:p w14:paraId="49B3F912">
      <w:pPr>
        <w:ind w:firstLine="218" w:firstLineChars="68"/>
        <w:rPr>
          <w:rFonts w:hint="default" w:eastAsia="宋体"/>
          <w:b/>
          <w:bCs/>
          <w:sz w:val="32"/>
          <w:szCs w:val="32"/>
          <w:highlight w:val="none"/>
          <w:lang w:val="en-US" w:eastAsia="zh-CN"/>
        </w:rPr>
      </w:pPr>
      <w:r>
        <w:rPr>
          <w:b/>
          <w:bCs/>
          <w:sz w:val="32"/>
          <w:szCs w:val="32"/>
          <w:highlight w:val="none"/>
        </w:rPr>
        <w:t>项目编号：GYJC202</w:t>
      </w:r>
      <w:r>
        <w:rPr>
          <w:rFonts w:hint="eastAsia"/>
          <w:b/>
          <w:bCs/>
          <w:sz w:val="32"/>
          <w:szCs w:val="32"/>
          <w:highlight w:val="none"/>
          <w:lang w:val="en-US" w:eastAsia="zh-CN"/>
        </w:rPr>
        <w:t>5155</w:t>
      </w:r>
    </w:p>
    <w:p w14:paraId="017B76D2">
      <w:pPr>
        <w:pStyle w:val="55"/>
        <w:spacing w:line="240" w:lineRule="auto"/>
        <w:rPr>
          <w:highlight w:val="none"/>
        </w:rPr>
      </w:pPr>
      <w:r>
        <w:rPr>
          <w:b/>
          <w:bCs/>
          <w:sz w:val="32"/>
          <w:szCs w:val="32"/>
          <w:highlight w:val="none"/>
        </w:rPr>
        <w:t xml:space="preserve"> 采 购 人：桂林银行股份有限公司</w:t>
      </w:r>
    </w:p>
    <w:p w14:paraId="639A36AA">
      <w:pPr>
        <w:ind w:firstLine="157" w:firstLineChars="49"/>
        <w:rPr>
          <w:highlight w:val="none"/>
        </w:rPr>
      </w:pPr>
      <w:r>
        <w:rPr>
          <w:b/>
          <w:bCs/>
          <w:sz w:val="32"/>
          <w:szCs w:val="32"/>
          <w:highlight w:val="none"/>
        </w:rPr>
        <w:t xml:space="preserve">   </w:t>
      </w:r>
    </w:p>
    <w:p w14:paraId="5FAA4DB5">
      <w:pPr>
        <w:ind w:left="-2" w:leftChars="-1" w:firstLine="840" w:firstLineChars="400"/>
        <w:rPr>
          <w:highlight w:val="none"/>
        </w:rPr>
      </w:pPr>
    </w:p>
    <w:p w14:paraId="35D66B5A">
      <w:pPr>
        <w:ind w:left="-2" w:leftChars="-1" w:firstLine="840" w:firstLineChars="400"/>
        <w:rPr>
          <w:highlight w:val="none"/>
        </w:rPr>
      </w:pPr>
    </w:p>
    <w:p w14:paraId="2B242878">
      <w:pPr>
        <w:ind w:left="-2" w:leftChars="-1" w:firstLine="840" w:firstLineChars="400"/>
        <w:rPr>
          <w:highlight w:val="none"/>
        </w:rPr>
      </w:pPr>
    </w:p>
    <w:p w14:paraId="11A33602">
      <w:pPr>
        <w:ind w:left="-2" w:leftChars="-1" w:firstLine="840" w:firstLineChars="400"/>
        <w:rPr>
          <w:highlight w:val="none"/>
        </w:rPr>
      </w:pPr>
    </w:p>
    <w:p w14:paraId="12CAC41B">
      <w:pPr>
        <w:rPr>
          <w:highlight w:val="none"/>
        </w:rPr>
      </w:pPr>
    </w:p>
    <w:p w14:paraId="68145DD8">
      <w:pPr>
        <w:ind w:left="-2" w:leftChars="-1" w:firstLine="840" w:firstLineChars="400"/>
        <w:rPr>
          <w:highlight w:val="none"/>
        </w:rPr>
      </w:pPr>
    </w:p>
    <w:p w14:paraId="6EB47892">
      <w:pPr>
        <w:pStyle w:val="2"/>
        <w:rPr>
          <w:highlight w:val="none"/>
        </w:rPr>
      </w:pPr>
    </w:p>
    <w:p w14:paraId="5AEC9325">
      <w:pPr>
        <w:rPr>
          <w:highlight w:val="none"/>
        </w:rPr>
      </w:pPr>
    </w:p>
    <w:p w14:paraId="1D9FB6E4">
      <w:pPr>
        <w:pStyle w:val="2"/>
        <w:rPr>
          <w:highlight w:val="none"/>
        </w:rPr>
      </w:pPr>
    </w:p>
    <w:p w14:paraId="272162D8">
      <w:pPr>
        <w:rPr>
          <w:highlight w:val="none"/>
        </w:rPr>
      </w:pPr>
    </w:p>
    <w:p w14:paraId="270D3236">
      <w:pPr>
        <w:ind w:left="-2" w:leftChars="-1" w:firstLine="840" w:firstLineChars="400"/>
        <w:rPr>
          <w:highlight w:val="none"/>
        </w:rPr>
      </w:pPr>
    </w:p>
    <w:p w14:paraId="0E2B6CA6">
      <w:pPr>
        <w:rPr>
          <w:highlight w:val="none"/>
        </w:rPr>
      </w:pPr>
    </w:p>
    <w:p w14:paraId="6BF04F77">
      <w:pPr>
        <w:tabs>
          <w:tab w:val="left" w:pos="1260"/>
        </w:tabs>
        <w:ind w:left="-2" w:leftChars="-1" w:firstLine="630" w:firstLineChars="300"/>
        <w:rPr>
          <w:highlight w:val="none"/>
        </w:rPr>
      </w:pPr>
    </w:p>
    <w:p w14:paraId="6F8F1C60">
      <w:pPr>
        <w:ind w:left="103" w:leftChars="49" w:firstLine="3762" w:firstLineChars="1171"/>
        <w:rPr>
          <w:sz w:val="32"/>
          <w:szCs w:val="32"/>
          <w:highlight w:val="none"/>
        </w:rPr>
      </w:pPr>
      <w:r>
        <w:rPr>
          <w:b/>
          <w:bCs/>
          <w:sz w:val="32"/>
          <w:szCs w:val="32"/>
          <w:highlight w:val="none"/>
        </w:rPr>
        <w:t>202</w:t>
      </w:r>
      <w:r>
        <w:rPr>
          <w:rFonts w:hint="eastAsia"/>
          <w:b/>
          <w:bCs/>
          <w:sz w:val="32"/>
          <w:szCs w:val="32"/>
          <w:highlight w:val="none"/>
        </w:rPr>
        <w:t>5</w:t>
      </w:r>
      <w:r>
        <w:rPr>
          <w:b/>
          <w:bCs/>
          <w:sz w:val="32"/>
          <w:szCs w:val="32"/>
          <w:highlight w:val="none"/>
        </w:rPr>
        <w:t>年</w:t>
      </w:r>
      <w:r>
        <w:rPr>
          <w:rFonts w:hint="eastAsia"/>
          <w:b/>
          <w:bCs/>
          <w:sz w:val="32"/>
          <w:szCs w:val="32"/>
          <w:highlight w:val="none"/>
          <w:lang w:val="en-US" w:eastAsia="zh-CN"/>
        </w:rPr>
        <w:t>12</w:t>
      </w:r>
      <w:r>
        <w:rPr>
          <w:b/>
          <w:bCs/>
          <w:sz w:val="32"/>
          <w:szCs w:val="32"/>
          <w:highlight w:val="none"/>
        </w:rPr>
        <w:t>月</w:t>
      </w:r>
    </w:p>
    <w:p w14:paraId="36FB33BE">
      <w:pPr>
        <w:spacing w:line="440" w:lineRule="exact"/>
        <w:jc w:val="center"/>
        <w:rPr>
          <w:sz w:val="44"/>
          <w:szCs w:val="44"/>
          <w:highlight w:val="none"/>
        </w:rPr>
        <w:sectPr>
          <w:footerReference r:id="rId3" w:type="default"/>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p>
    <w:p w14:paraId="015A977E">
      <w:pPr>
        <w:pStyle w:val="55"/>
        <w:rPr>
          <w:highlight w:val="none"/>
        </w:rPr>
      </w:pPr>
    </w:p>
    <w:p w14:paraId="04AB9B01">
      <w:pPr>
        <w:spacing w:line="440" w:lineRule="exact"/>
        <w:jc w:val="center"/>
        <w:rPr>
          <w:sz w:val="44"/>
          <w:szCs w:val="44"/>
          <w:highlight w:val="none"/>
        </w:rPr>
      </w:pPr>
      <w:r>
        <w:rPr>
          <w:sz w:val="44"/>
          <w:szCs w:val="44"/>
          <w:highlight w:val="none"/>
        </w:rPr>
        <w:t>目录</w:t>
      </w:r>
    </w:p>
    <w:p w14:paraId="1B3C7A8C">
      <w:pPr>
        <w:rPr>
          <w:sz w:val="28"/>
          <w:szCs w:val="28"/>
          <w:highlight w:val="none"/>
        </w:rPr>
      </w:pPr>
    </w:p>
    <w:p w14:paraId="7C5A11C9">
      <w:pPr>
        <w:pStyle w:val="32"/>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TOC \o "1-1" \h \u </w:instrText>
      </w:r>
      <w:r>
        <w:rPr>
          <w:rFonts w:hint="eastAsia" w:asciiTheme="minorEastAsia" w:hAnsiTheme="minorEastAsia" w:eastAsiaTheme="minorEastAsia" w:cstheme="minorEastAsia"/>
          <w:sz w:val="28"/>
          <w:szCs w:val="28"/>
          <w:highlight w:val="none"/>
        </w:rPr>
        <w:fldChar w:fldCharType="separate"/>
      </w: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_Toc18955 </w:instrText>
      </w:r>
      <w:r>
        <w:rPr>
          <w:rFonts w:hint="eastAsia" w:asciiTheme="minorEastAsia" w:hAnsiTheme="minorEastAsia" w:eastAsiaTheme="minorEastAsia" w:cstheme="minorEastAsia"/>
          <w:sz w:val="28"/>
          <w:szCs w:val="28"/>
          <w:highlight w:val="none"/>
        </w:rPr>
        <w:fldChar w:fldCharType="separate"/>
      </w:r>
      <w:r>
        <w:rPr>
          <w:rFonts w:hint="eastAsia"/>
          <w:kern w:val="0"/>
          <w:sz w:val="28"/>
          <w:szCs w:val="28"/>
          <w:highlight w:val="none"/>
        </w:rPr>
        <w:t xml:space="preserve">第一章  </w:t>
      </w:r>
      <w:r>
        <w:rPr>
          <w:kern w:val="0"/>
          <w:sz w:val="28"/>
          <w:szCs w:val="28"/>
          <w:highlight w:val="none"/>
        </w:rPr>
        <w:t>竞争性磋商</w:t>
      </w:r>
      <w:r>
        <w:rPr>
          <w:rFonts w:hint="eastAsia"/>
          <w:kern w:val="0"/>
          <w:sz w:val="28"/>
          <w:szCs w:val="28"/>
          <w:highlight w:val="none"/>
        </w:rPr>
        <w:t>公告</w:t>
      </w:r>
      <w:r>
        <w:rPr>
          <w:sz w:val="28"/>
          <w:szCs w:val="28"/>
          <w:highlight w:val="none"/>
        </w:rPr>
        <w:tab/>
      </w:r>
      <w:r>
        <w:rPr>
          <w:sz w:val="28"/>
          <w:szCs w:val="28"/>
          <w:highlight w:val="none"/>
        </w:rPr>
        <w:fldChar w:fldCharType="begin"/>
      </w:r>
      <w:r>
        <w:rPr>
          <w:sz w:val="28"/>
          <w:szCs w:val="28"/>
          <w:highlight w:val="none"/>
        </w:rPr>
        <w:instrText xml:space="preserve"> PAGEREF _Toc18955 \h </w:instrText>
      </w:r>
      <w:r>
        <w:rPr>
          <w:sz w:val="28"/>
          <w:szCs w:val="28"/>
          <w:highlight w:val="none"/>
        </w:rPr>
        <w:fldChar w:fldCharType="separate"/>
      </w:r>
      <w:r>
        <w:rPr>
          <w:sz w:val="28"/>
          <w:szCs w:val="28"/>
          <w:highlight w:val="none"/>
        </w:rPr>
        <w:t>3</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7411B47">
      <w:pPr>
        <w:pStyle w:val="32"/>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_Toc5135 </w:instrText>
      </w:r>
      <w:r>
        <w:rPr>
          <w:rFonts w:hint="eastAsia" w:asciiTheme="minorEastAsia" w:hAnsiTheme="minorEastAsia" w:eastAsiaTheme="minorEastAsia" w:cstheme="minorEastAsia"/>
          <w:sz w:val="28"/>
          <w:szCs w:val="28"/>
          <w:highlight w:val="none"/>
        </w:rPr>
        <w:fldChar w:fldCharType="separate"/>
      </w:r>
      <w:r>
        <w:rPr>
          <w:rFonts w:ascii="Times New Roman" w:hAnsi="Times New Roman"/>
          <w:sz w:val="28"/>
          <w:szCs w:val="28"/>
          <w:highlight w:val="none"/>
        </w:rPr>
        <w:t xml:space="preserve">第二章  </w:t>
      </w:r>
      <w:r>
        <w:rPr>
          <w:rFonts w:hint="eastAsia" w:ascii="Times New Roman" w:hAnsi="Times New Roman"/>
          <w:sz w:val="28"/>
          <w:szCs w:val="28"/>
          <w:highlight w:val="none"/>
          <w:lang w:eastAsia="zh-CN"/>
        </w:rPr>
        <w:t>供应商</w:t>
      </w:r>
      <w:r>
        <w:rPr>
          <w:rFonts w:ascii="Times New Roman" w:hAnsi="Times New Roman"/>
          <w:sz w:val="28"/>
          <w:szCs w:val="28"/>
          <w:highlight w:val="none"/>
        </w:rPr>
        <w:t>须知</w:t>
      </w:r>
      <w:r>
        <w:rPr>
          <w:sz w:val="28"/>
          <w:szCs w:val="28"/>
          <w:highlight w:val="none"/>
        </w:rPr>
        <w:tab/>
      </w:r>
      <w:r>
        <w:rPr>
          <w:sz w:val="28"/>
          <w:szCs w:val="28"/>
          <w:highlight w:val="none"/>
        </w:rPr>
        <w:fldChar w:fldCharType="begin"/>
      </w:r>
      <w:r>
        <w:rPr>
          <w:sz w:val="28"/>
          <w:szCs w:val="28"/>
          <w:highlight w:val="none"/>
        </w:rPr>
        <w:instrText xml:space="preserve"> PAGEREF _Toc5135 \h </w:instrText>
      </w:r>
      <w:r>
        <w:rPr>
          <w:sz w:val="28"/>
          <w:szCs w:val="28"/>
          <w:highlight w:val="none"/>
        </w:rPr>
        <w:fldChar w:fldCharType="separate"/>
      </w:r>
      <w:r>
        <w:rPr>
          <w:sz w:val="28"/>
          <w:szCs w:val="28"/>
          <w:highlight w:val="none"/>
        </w:rPr>
        <w:t>6</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45393EF">
      <w:pPr>
        <w:pStyle w:val="32"/>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_Toc15406 </w:instrText>
      </w:r>
      <w:r>
        <w:rPr>
          <w:rFonts w:hint="eastAsia" w:asciiTheme="minorEastAsia" w:hAnsiTheme="minorEastAsia" w:eastAsiaTheme="minorEastAsia" w:cstheme="minorEastAsia"/>
          <w:sz w:val="28"/>
          <w:szCs w:val="28"/>
          <w:highlight w:val="none"/>
        </w:rPr>
        <w:fldChar w:fldCharType="separate"/>
      </w:r>
      <w:r>
        <w:rPr>
          <w:rFonts w:hint="eastAsia"/>
          <w:sz w:val="28"/>
          <w:szCs w:val="28"/>
          <w:highlight w:val="none"/>
        </w:rPr>
        <w:t>第三章　项目需求</w:t>
      </w:r>
      <w:r>
        <w:rPr>
          <w:sz w:val="28"/>
          <w:szCs w:val="28"/>
          <w:highlight w:val="none"/>
        </w:rPr>
        <w:tab/>
      </w:r>
      <w:r>
        <w:rPr>
          <w:sz w:val="28"/>
          <w:szCs w:val="28"/>
          <w:highlight w:val="none"/>
        </w:rPr>
        <w:fldChar w:fldCharType="begin"/>
      </w:r>
      <w:r>
        <w:rPr>
          <w:sz w:val="28"/>
          <w:szCs w:val="28"/>
          <w:highlight w:val="none"/>
        </w:rPr>
        <w:instrText xml:space="preserve"> PAGEREF _Toc15406 \h </w:instrText>
      </w:r>
      <w:r>
        <w:rPr>
          <w:sz w:val="28"/>
          <w:szCs w:val="28"/>
          <w:highlight w:val="none"/>
        </w:rPr>
        <w:fldChar w:fldCharType="separate"/>
      </w:r>
      <w:r>
        <w:rPr>
          <w:sz w:val="28"/>
          <w:szCs w:val="28"/>
          <w:highlight w:val="none"/>
        </w:rPr>
        <w:t>12</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67052F2C">
      <w:pPr>
        <w:pStyle w:val="32"/>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_Toc23551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第四章  评审方法和评分标准</w:t>
      </w:r>
      <w:r>
        <w:rPr>
          <w:sz w:val="28"/>
          <w:szCs w:val="28"/>
          <w:highlight w:val="none"/>
        </w:rPr>
        <w:tab/>
      </w:r>
      <w:r>
        <w:rPr>
          <w:sz w:val="28"/>
          <w:szCs w:val="28"/>
          <w:highlight w:val="none"/>
        </w:rPr>
        <w:fldChar w:fldCharType="begin"/>
      </w:r>
      <w:r>
        <w:rPr>
          <w:sz w:val="28"/>
          <w:szCs w:val="28"/>
          <w:highlight w:val="none"/>
        </w:rPr>
        <w:instrText xml:space="preserve"> PAGEREF _Toc23551 \h </w:instrText>
      </w:r>
      <w:r>
        <w:rPr>
          <w:sz w:val="28"/>
          <w:szCs w:val="28"/>
          <w:highlight w:val="none"/>
        </w:rPr>
        <w:fldChar w:fldCharType="separate"/>
      </w:r>
      <w:r>
        <w:rPr>
          <w:sz w:val="28"/>
          <w:szCs w:val="28"/>
          <w:highlight w:val="none"/>
        </w:rPr>
        <w:t>15</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794F5AD5">
      <w:pPr>
        <w:pStyle w:val="32"/>
        <w:tabs>
          <w:tab w:val="right" w:leader="dot" w:pos="9297"/>
        </w:tabs>
        <w:rPr>
          <w:sz w:val="28"/>
          <w:szCs w:val="28"/>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_Toc29678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第五章  合同主要条款格式</w:t>
      </w:r>
      <w:r>
        <w:rPr>
          <w:sz w:val="28"/>
          <w:szCs w:val="28"/>
          <w:highlight w:val="none"/>
        </w:rPr>
        <w:tab/>
      </w:r>
      <w:r>
        <w:rPr>
          <w:sz w:val="28"/>
          <w:szCs w:val="28"/>
          <w:highlight w:val="none"/>
        </w:rPr>
        <w:fldChar w:fldCharType="begin"/>
      </w:r>
      <w:r>
        <w:rPr>
          <w:sz w:val="28"/>
          <w:szCs w:val="28"/>
          <w:highlight w:val="none"/>
        </w:rPr>
        <w:instrText xml:space="preserve"> PAGEREF _Toc29678 \h </w:instrText>
      </w:r>
      <w:r>
        <w:rPr>
          <w:sz w:val="28"/>
          <w:szCs w:val="28"/>
          <w:highlight w:val="none"/>
        </w:rPr>
        <w:fldChar w:fldCharType="separate"/>
      </w:r>
      <w:r>
        <w:rPr>
          <w:sz w:val="28"/>
          <w:szCs w:val="28"/>
          <w:highlight w:val="none"/>
        </w:rPr>
        <w:t>20</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0512968F">
      <w:pPr>
        <w:pStyle w:val="32"/>
        <w:tabs>
          <w:tab w:val="right" w:leader="dot" w:pos="9297"/>
        </w:tabs>
        <w:rPr>
          <w:highlight w:val="none"/>
        </w:rPr>
      </w:pPr>
      <w:r>
        <w:rPr>
          <w:rFonts w:hint="eastAsia" w:asciiTheme="minorEastAsia" w:hAnsiTheme="minorEastAsia" w:eastAsiaTheme="minorEastAsia" w:cstheme="minorEastAsia"/>
          <w:sz w:val="28"/>
          <w:szCs w:val="28"/>
          <w:highlight w:val="none"/>
        </w:rPr>
        <w:fldChar w:fldCharType="begin"/>
      </w:r>
      <w:r>
        <w:rPr>
          <w:rFonts w:hint="eastAsia" w:asciiTheme="minorEastAsia" w:hAnsiTheme="minorEastAsia" w:eastAsiaTheme="minorEastAsia" w:cstheme="minorEastAsia"/>
          <w:sz w:val="28"/>
          <w:szCs w:val="28"/>
          <w:highlight w:val="none"/>
        </w:rPr>
        <w:instrText xml:space="preserve"> HYPERLINK \l _Toc17961 </w:instrText>
      </w:r>
      <w:r>
        <w:rPr>
          <w:rFonts w:hint="eastAsia" w:asciiTheme="minorEastAsia" w:hAnsiTheme="minorEastAsia" w:eastAsiaTheme="minorEastAsia" w:cstheme="minorEastAsia"/>
          <w:sz w:val="28"/>
          <w:szCs w:val="28"/>
          <w:highlight w:val="none"/>
        </w:rPr>
        <w:fldChar w:fldCharType="separate"/>
      </w:r>
      <w:r>
        <w:rPr>
          <w:sz w:val="28"/>
          <w:szCs w:val="28"/>
          <w:highlight w:val="none"/>
        </w:rPr>
        <w:t>第六章  响应文件格式</w:t>
      </w:r>
      <w:r>
        <w:rPr>
          <w:sz w:val="28"/>
          <w:szCs w:val="28"/>
          <w:highlight w:val="none"/>
        </w:rPr>
        <w:tab/>
      </w:r>
      <w:r>
        <w:rPr>
          <w:sz w:val="28"/>
          <w:szCs w:val="28"/>
          <w:highlight w:val="none"/>
        </w:rPr>
        <w:fldChar w:fldCharType="begin"/>
      </w:r>
      <w:r>
        <w:rPr>
          <w:sz w:val="28"/>
          <w:szCs w:val="28"/>
          <w:highlight w:val="none"/>
        </w:rPr>
        <w:instrText xml:space="preserve"> PAGEREF _Toc17961 \h </w:instrText>
      </w:r>
      <w:r>
        <w:rPr>
          <w:sz w:val="28"/>
          <w:szCs w:val="28"/>
          <w:highlight w:val="none"/>
        </w:rPr>
        <w:fldChar w:fldCharType="separate"/>
      </w:r>
      <w:r>
        <w:rPr>
          <w:sz w:val="28"/>
          <w:szCs w:val="28"/>
          <w:highlight w:val="none"/>
        </w:rPr>
        <w:t>21</w:t>
      </w:r>
      <w:r>
        <w:rPr>
          <w:sz w:val="28"/>
          <w:szCs w:val="28"/>
          <w:highlight w:val="none"/>
        </w:rPr>
        <w:fldChar w:fldCharType="end"/>
      </w:r>
      <w:r>
        <w:rPr>
          <w:rFonts w:hint="eastAsia" w:asciiTheme="minorEastAsia" w:hAnsiTheme="minorEastAsia" w:eastAsiaTheme="minorEastAsia" w:cstheme="minorEastAsia"/>
          <w:sz w:val="28"/>
          <w:szCs w:val="28"/>
          <w:highlight w:val="none"/>
        </w:rPr>
        <w:fldChar w:fldCharType="end"/>
      </w:r>
    </w:p>
    <w:p w14:paraId="2502C650">
      <w:pPr>
        <w:jc w:val="center"/>
        <w:rPr>
          <w:rFonts w:asciiTheme="minorEastAsia" w:hAnsiTheme="minorEastAsia" w:eastAsiaTheme="minorEastAsia" w:cstheme="minorEastAsia"/>
          <w:sz w:val="28"/>
          <w:szCs w:val="28"/>
          <w:highlight w:val="none"/>
        </w:rPr>
      </w:pPr>
      <w:r>
        <w:rPr>
          <w:rFonts w:hint="eastAsia" w:asciiTheme="minorEastAsia" w:hAnsiTheme="minorEastAsia" w:eastAsiaTheme="minorEastAsia" w:cstheme="minorEastAsia"/>
          <w:szCs w:val="28"/>
          <w:highlight w:val="none"/>
        </w:rPr>
        <w:fldChar w:fldCharType="end"/>
      </w:r>
    </w:p>
    <w:p w14:paraId="15D0F05E">
      <w:pPr>
        <w:jc w:val="center"/>
        <w:rPr>
          <w:sz w:val="28"/>
          <w:szCs w:val="28"/>
          <w:highlight w:val="none"/>
        </w:rPr>
      </w:pPr>
    </w:p>
    <w:p w14:paraId="7E46B41A">
      <w:pPr>
        <w:spacing w:line="440" w:lineRule="exact"/>
        <w:jc w:val="center"/>
        <w:rPr>
          <w:sz w:val="44"/>
          <w:szCs w:val="44"/>
          <w:highlight w:val="none"/>
        </w:rPr>
      </w:pPr>
    </w:p>
    <w:p w14:paraId="2B254146">
      <w:pPr>
        <w:tabs>
          <w:tab w:val="left" w:pos="2604"/>
        </w:tabs>
        <w:spacing w:line="440" w:lineRule="exact"/>
        <w:jc w:val="left"/>
        <w:rPr>
          <w:sz w:val="44"/>
          <w:szCs w:val="44"/>
          <w:highlight w:val="none"/>
        </w:rPr>
      </w:pPr>
      <w:r>
        <w:rPr>
          <w:rFonts w:hint="eastAsia"/>
          <w:sz w:val="44"/>
          <w:szCs w:val="44"/>
          <w:highlight w:val="none"/>
        </w:rPr>
        <w:tab/>
      </w:r>
    </w:p>
    <w:p w14:paraId="6B64C163">
      <w:pPr>
        <w:spacing w:line="440" w:lineRule="exact"/>
        <w:jc w:val="center"/>
        <w:rPr>
          <w:sz w:val="44"/>
          <w:szCs w:val="44"/>
          <w:highlight w:val="none"/>
        </w:rPr>
      </w:pPr>
    </w:p>
    <w:p w14:paraId="2DC1BEB0">
      <w:pPr>
        <w:spacing w:line="440" w:lineRule="exact"/>
        <w:jc w:val="center"/>
        <w:rPr>
          <w:sz w:val="44"/>
          <w:szCs w:val="44"/>
          <w:highlight w:val="none"/>
        </w:rPr>
      </w:pPr>
    </w:p>
    <w:p w14:paraId="6575FB31">
      <w:pPr>
        <w:spacing w:line="440" w:lineRule="exact"/>
        <w:jc w:val="center"/>
        <w:rPr>
          <w:sz w:val="44"/>
          <w:szCs w:val="44"/>
          <w:highlight w:val="none"/>
        </w:rPr>
      </w:pPr>
    </w:p>
    <w:p w14:paraId="089A384A">
      <w:pPr>
        <w:spacing w:line="440" w:lineRule="exact"/>
        <w:jc w:val="center"/>
        <w:rPr>
          <w:sz w:val="44"/>
          <w:szCs w:val="44"/>
          <w:highlight w:val="none"/>
        </w:rPr>
      </w:pPr>
    </w:p>
    <w:p w14:paraId="7B1401C3">
      <w:pPr>
        <w:spacing w:line="440" w:lineRule="exact"/>
        <w:jc w:val="center"/>
        <w:rPr>
          <w:sz w:val="44"/>
          <w:szCs w:val="44"/>
          <w:highlight w:val="none"/>
        </w:rPr>
      </w:pPr>
    </w:p>
    <w:p w14:paraId="38F7EBE1">
      <w:pPr>
        <w:spacing w:line="440" w:lineRule="exact"/>
        <w:jc w:val="center"/>
        <w:rPr>
          <w:sz w:val="44"/>
          <w:szCs w:val="44"/>
          <w:highlight w:val="none"/>
        </w:rPr>
      </w:pPr>
    </w:p>
    <w:p w14:paraId="01D37A22">
      <w:pPr>
        <w:spacing w:line="440" w:lineRule="exact"/>
        <w:jc w:val="center"/>
        <w:rPr>
          <w:sz w:val="44"/>
          <w:szCs w:val="44"/>
          <w:highlight w:val="none"/>
        </w:rPr>
      </w:pPr>
    </w:p>
    <w:p w14:paraId="2011EC83">
      <w:pPr>
        <w:pStyle w:val="39"/>
        <w:rPr>
          <w:rFonts w:ascii="Times New Roman" w:hAnsi="Times New Roman"/>
          <w:highlight w:val="none"/>
        </w:rPr>
        <w:sectPr>
          <w:pgSz w:w="11905" w:h="16838"/>
          <w:pgMar w:top="1417" w:right="1304" w:bottom="1417" w:left="1304" w:header="850" w:footer="992" w:gutter="0"/>
          <w:pgBorders>
            <w:top w:val="none" w:sz="0" w:space="0"/>
            <w:left w:val="none" w:sz="0" w:space="0"/>
            <w:bottom w:val="none" w:sz="0" w:space="0"/>
            <w:right w:val="none" w:sz="0" w:space="0"/>
          </w:pgBorders>
          <w:cols w:space="0" w:num="1"/>
          <w:docGrid w:type="lines" w:linePitch="312" w:charSpace="0"/>
        </w:sectPr>
      </w:pPr>
      <w:bookmarkStart w:id="0" w:name="_Toc17959"/>
      <w:bookmarkStart w:id="1" w:name="_Toc19769"/>
      <w:bookmarkStart w:id="2" w:name="_Toc5274"/>
      <w:bookmarkStart w:id="3" w:name="_Toc9951095"/>
    </w:p>
    <w:p w14:paraId="582C277D">
      <w:pPr>
        <w:pStyle w:val="3"/>
        <w:jc w:val="center"/>
        <w:rPr>
          <w:kern w:val="0"/>
          <w:sz w:val="32"/>
          <w:szCs w:val="32"/>
          <w:highlight w:val="none"/>
        </w:rPr>
      </w:pPr>
      <w:bookmarkStart w:id="4" w:name="_Toc25509"/>
      <w:bookmarkStart w:id="5" w:name="_Toc16108"/>
      <w:bookmarkStart w:id="6" w:name="_Toc32314"/>
      <w:bookmarkStart w:id="7" w:name="_Toc7903"/>
      <w:bookmarkStart w:id="8" w:name="_Toc11733"/>
      <w:bookmarkStart w:id="9" w:name="_Toc22852"/>
      <w:bookmarkStart w:id="10" w:name="_Toc21542"/>
      <w:bookmarkStart w:id="11" w:name="_Toc3937"/>
      <w:bookmarkStart w:id="12" w:name="_Toc1977"/>
      <w:bookmarkStart w:id="13" w:name="_Toc31024"/>
      <w:bookmarkStart w:id="14" w:name="_Toc25639"/>
      <w:bookmarkStart w:id="15" w:name="_Toc31946"/>
      <w:bookmarkStart w:id="16" w:name="_Toc23466"/>
      <w:bookmarkStart w:id="17" w:name="_Toc9179"/>
      <w:bookmarkStart w:id="18" w:name="_Toc11228"/>
      <w:bookmarkStart w:id="19" w:name="_Toc21219"/>
      <w:bookmarkStart w:id="20" w:name="_Toc12598"/>
      <w:bookmarkStart w:id="21" w:name="_Toc2196"/>
      <w:bookmarkStart w:id="22" w:name="_Toc25041"/>
      <w:bookmarkStart w:id="23" w:name="_Toc6511"/>
      <w:bookmarkStart w:id="24" w:name="_Toc27674"/>
      <w:bookmarkStart w:id="25" w:name="_Toc26703"/>
      <w:bookmarkStart w:id="26" w:name="_Toc9062"/>
      <w:bookmarkStart w:id="27" w:name="_Toc30082"/>
      <w:bookmarkStart w:id="28" w:name="_Toc5259"/>
      <w:bookmarkStart w:id="29" w:name="_Toc13293"/>
      <w:bookmarkStart w:id="30" w:name="_Toc26058"/>
      <w:bookmarkStart w:id="31" w:name="_Toc30820"/>
      <w:bookmarkStart w:id="32" w:name="_Toc27333"/>
      <w:bookmarkStart w:id="33" w:name="_Toc21138"/>
      <w:bookmarkStart w:id="34" w:name="_Toc5458"/>
      <w:bookmarkStart w:id="35" w:name="_Toc9333"/>
      <w:bookmarkStart w:id="36" w:name="_Toc17753"/>
      <w:bookmarkStart w:id="37" w:name="_Toc12004"/>
      <w:bookmarkStart w:id="38" w:name="_Toc839"/>
      <w:bookmarkStart w:id="39" w:name="_Toc21020"/>
      <w:bookmarkStart w:id="40" w:name="_Toc3861"/>
      <w:bookmarkStart w:id="41" w:name="_Toc4370"/>
      <w:bookmarkStart w:id="42" w:name="_Toc17368"/>
      <w:bookmarkStart w:id="43" w:name="_Toc1848"/>
      <w:bookmarkStart w:id="44" w:name="_Toc14678"/>
      <w:bookmarkStart w:id="45" w:name="_Toc6778"/>
      <w:bookmarkStart w:id="46" w:name="_Toc12739"/>
      <w:bookmarkStart w:id="47" w:name="_Toc18955"/>
      <w:bookmarkStart w:id="48" w:name="_Toc18582"/>
      <w:r>
        <w:rPr>
          <w:rFonts w:hint="eastAsia"/>
          <w:kern w:val="0"/>
          <w:sz w:val="32"/>
          <w:szCs w:val="32"/>
          <w:highlight w:val="none"/>
        </w:rPr>
        <w:t xml:space="preserve">第一章  </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Pr>
          <w:kern w:val="0"/>
          <w:sz w:val="32"/>
          <w:szCs w:val="32"/>
          <w:highlight w:val="none"/>
        </w:rPr>
        <w:t>竞争性磋商</w:t>
      </w:r>
      <w:bookmarkEnd w:id="43"/>
      <w:bookmarkEnd w:id="44"/>
      <w:r>
        <w:rPr>
          <w:rFonts w:hint="eastAsia"/>
          <w:kern w:val="0"/>
          <w:sz w:val="32"/>
          <w:szCs w:val="32"/>
          <w:highlight w:val="none"/>
        </w:rPr>
        <w:t>公告</w:t>
      </w:r>
      <w:bookmarkEnd w:id="45"/>
      <w:bookmarkEnd w:id="46"/>
      <w:bookmarkEnd w:id="47"/>
      <w:bookmarkEnd w:id="48"/>
    </w:p>
    <w:p w14:paraId="452327B0">
      <w:pPr>
        <w:spacing w:line="400" w:lineRule="exact"/>
        <w:ind w:firstLine="560" w:firstLineChars="200"/>
        <w:jc w:val="center"/>
        <w:rPr>
          <w:rFonts w:hint="eastAsia" w:ascii="宋体" w:hAnsi="宋体" w:eastAsia="宋体" w:cs="宋体"/>
          <w:sz w:val="28"/>
          <w:szCs w:val="28"/>
          <w:highlight w:val="none"/>
          <w:lang w:eastAsia="zh-CN"/>
        </w:rPr>
      </w:pPr>
      <w:r>
        <w:rPr>
          <w:rFonts w:hint="eastAsia" w:ascii="宋体" w:hAnsi="宋体" w:eastAsia="宋体" w:cs="宋体"/>
          <w:sz w:val="28"/>
          <w:szCs w:val="28"/>
          <w:highlight w:val="none"/>
        </w:rPr>
        <w:t>桂林银行采购洗钱风险自评估咨询项目</w:t>
      </w:r>
      <w:r>
        <w:rPr>
          <w:rFonts w:hint="eastAsia" w:ascii="宋体" w:hAnsi="宋体" w:eastAsia="宋体" w:cs="宋体"/>
          <w:sz w:val="28"/>
          <w:szCs w:val="28"/>
          <w:highlight w:val="none"/>
          <w:lang w:eastAsia="zh-CN"/>
        </w:rPr>
        <w:t>（</w:t>
      </w:r>
      <w:r>
        <w:rPr>
          <w:rFonts w:hint="eastAsia" w:ascii="宋体" w:hAnsi="宋体" w:eastAsia="宋体" w:cs="宋体"/>
          <w:sz w:val="28"/>
          <w:szCs w:val="28"/>
          <w:highlight w:val="none"/>
          <w:lang w:val="en-US" w:eastAsia="zh-CN"/>
        </w:rPr>
        <w:t>GYJC202</w:t>
      </w:r>
      <w:r>
        <w:rPr>
          <w:rFonts w:hint="eastAsia" w:ascii="宋体" w:hAnsi="宋体" w:cs="宋体"/>
          <w:sz w:val="28"/>
          <w:szCs w:val="28"/>
          <w:highlight w:val="none"/>
          <w:lang w:val="en-US" w:eastAsia="zh-CN"/>
        </w:rPr>
        <w:t>5155</w:t>
      </w:r>
      <w:r>
        <w:rPr>
          <w:rFonts w:hint="eastAsia" w:ascii="宋体" w:hAnsi="宋体" w:eastAsia="宋体" w:cs="宋体"/>
          <w:sz w:val="28"/>
          <w:szCs w:val="28"/>
          <w:highlight w:val="none"/>
          <w:lang w:eastAsia="zh-CN"/>
        </w:rPr>
        <w:t>）</w:t>
      </w:r>
    </w:p>
    <w:p w14:paraId="5F3BD49E">
      <w:pPr>
        <w:spacing w:line="400" w:lineRule="exact"/>
        <w:ind w:firstLine="560" w:firstLineChars="200"/>
        <w:jc w:val="center"/>
        <w:rPr>
          <w:rFonts w:hint="eastAsia" w:ascii="宋体" w:hAnsi="宋体" w:eastAsia="宋体" w:cs="宋体"/>
          <w:highlight w:val="none"/>
        </w:rPr>
      </w:pPr>
      <w:r>
        <w:rPr>
          <w:rFonts w:hint="eastAsia" w:ascii="宋体" w:hAnsi="宋体" w:eastAsia="宋体" w:cs="宋体"/>
          <w:sz w:val="28"/>
          <w:szCs w:val="28"/>
          <w:highlight w:val="none"/>
        </w:rPr>
        <w:t>竞争性磋商公告</w:t>
      </w:r>
    </w:p>
    <w:p w14:paraId="2E37E9C9">
      <w:pPr>
        <w:pStyle w:val="50"/>
        <w:keepNext w:val="0"/>
        <w:keepLines w:val="0"/>
        <w:pageBreakBefore w:val="0"/>
        <w:kinsoku/>
        <w:overflowPunct/>
        <w:topLinePunct w:val="0"/>
        <w:autoSpaceDE/>
        <w:autoSpaceDN/>
        <w:bidi w:val="0"/>
        <w:adjustRightInd/>
        <w:snapToGrid w:val="0"/>
        <w:spacing w:after="0" w:line="400" w:lineRule="exact"/>
        <w:ind w:left="0" w:leftChars="0" w:firstLine="460" w:firstLineChars="200"/>
        <w:jc w:val="both"/>
        <w:textAlignment w:val="auto"/>
        <w:rPr>
          <w:rFonts w:hint="eastAsia" w:ascii="宋体" w:hAnsi="宋体" w:eastAsia="宋体" w:cs="宋体"/>
          <w:sz w:val="21"/>
          <w:szCs w:val="21"/>
          <w:highlight w:val="none"/>
        </w:rPr>
      </w:pPr>
    </w:p>
    <w:p w14:paraId="582122E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桂林银行股份有限公司对桂林银行采购洗钱风险自评估咨询项目进行竞争性磋商，有关事项公告如下：</w:t>
      </w:r>
    </w:p>
    <w:p w14:paraId="1DD60CB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一、磋商项目：</w:t>
      </w:r>
      <w:r>
        <w:rPr>
          <w:rFonts w:hint="eastAsia" w:ascii="宋体" w:hAnsi="宋体" w:eastAsia="宋体" w:cs="宋体"/>
          <w:b/>
          <w:bCs/>
          <w:sz w:val="21"/>
          <w:szCs w:val="21"/>
          <w:highlight w:val="none"/>
        </w:rPr>
        <w:t>桂林银行采购洗钱风险自评估咨询项目</w:t>
      </w:r>
      <w:r>
        <w:rPr>
          <w:rFonts w:hint="eastAsia" w:ascii="宋体" w:hAnsi="宋体" w:eastAsia="宋体" w:cs="宋体"/>
          <w:b/>
          <w:bCs/>
          <w:kern w:val="0"/>
          <w:sz w:val="21"/>
          <w:szCs w:val="21"/>
          <w:highlight w:val="none"/>
        </w:rPr>
        <w:t xml:space="preserve"> </w:t>
      </w:r>
      <w:r>
        <w:rPr>
          <w:rFonts w:hint="eastAsia" w:ascii="宋体" w:hAnsi="宋体" w:eastAsia="宋体" w:cs="宋体"/>
          <w:sz w:val="21"/>
          <w:szCs w:val="21"/>
          <w:highlight w:val="none"/>
        </w:rPr>
        <w:t xml:space="preserve">     </w:t>
      </w:r>
    </w:p>
    <w:p w14:paraId="6A8FFA7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default" w:ascii="宋体" w:hAnsi="宋体" w:eastAsia="宋体" w:cs="宋体"/>
          <w:sz w:val="21"/>
          <w:szCs w:val="21"/>
          <w:highlight w:val="none"/>
          <w:lang w:val="en-US" w:eastAsia="zh-CN"/>
        </w:rPr>
      </w:pPr>
      <w:r>
        <w:rPr>
          <w:rFonts w:hint="eastAsia" w:ascii="宋体" w:hAnsi="宋体" w:eastAsia="宋体" w:cs="宋体"/>
          <w:sz w:val="21"/>
          <w:szCs w:val="21"/>
          <w:highlight w:val="none"/>
        </w:rPr>
        <w:t>二、项目编号：</w:t>
      </w:r>
      <w:r>
        <w:rPr>
          <w:rFonts w:hint="eastAsia" w:ascii="宋体" w:hAnsi="宋体" w:eastAsia="宋体" w:cs="宋体"/>
          <w:b/>
          <w:bCs/>
          <w:sz w:val="21"/>
          <w:szCs w:val="21"/>
          <w:highlight w:val="none"/>
        </w:rPr>
        <w:t>GYJC202</w:t>
      </w:r>
      <w:r>
        <w:rPr>
          <w:rFonts w:hint="eastAsia" w:ascii="宋体" w:hAnsi="宋体" w:cs="宋体"/>
          <w:b/>
          <w:bCs/>
          <w:sz w:val="21"/>
          <w:szCs w:val="21"/>
          <w:highlight w:val="none"/>
          <w:lang w:val="en-US" w:eastAsia="zh-CN"/>
        </w:rPr>
        <w:t>5155</w:t>
      </w:r>
    </w:p>
    <w:p w14:paraId="0EBE55D0">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三、采购内容：</w:t>
      </w:r>
      <w:r>
        <w:rPr>
          <w:rFonts w:hint="eastAsia" w:ascii="宋体" w:hAnsi="宋体" w:eastAsia="宋体" w:cs="宋体"/>
          <w:sz w:val="21"/>
          <w:szCs w:val="21"/>
          <w:highlight w:val="none"/>
          <w:lang w:val="en-US" w:eastAsia="zh-CN"/>
        </w:rPr>
        <w:t>拟采购</w:t>
      </w:r>
      <w:r>
        <w:rPr>
          <w:rFonts w:hint="eastAsia" w:ascii="宋体" w:hAnsi="宋体" w:eastAsia="宋体" w:cs="宋体"/>
          <w:sz w:val="21"/>
          <w:szCs w:val="21"/>
          <w:highlight w:val="none"/>
        </w:rPr>
        <w:t>洗钱风险自评估咨询</w:t>
      </w:r>
      <w:r>
        <w:rPr>
          <w:rFonts w:hint="eastAsia" w:ascii="宋体" w:hAnsi="宋体" w:cs="宋体"/>
          <w:sz w:val="21"/>
          <w:szCs w:val="21"/>
          <w:highlight w:val="none"/>
          <w:lang w:val="en-US" w:eastAsia="zh-CN"/>
        </w:rPr>
        <w:t>服务</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rPr>
        <w:t>如需进一步了解详细内容，详见磋商文件。</w:t>
      </w:r>
    </w:p>
    <w:p w14:paraId="49BFB38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四、预算金额：</w:t>
      </w:r>
      <w:r>
        <w:rPr>
          <w:rFonts w:hint="eastAsia" w:ascii="宋体" w:hAnsi="宋体" w:cs="宋体"/>
          <w:b/>
          <w:bCs/>
          <w:sz w:val="21"/>
          <w:szCs w:val="21"/>
          <w:highlight w:val="none"/>
          <w:lang w:val="en-US" w:eastAsia="zh-CN"/>
        </w:rPr>
        <w:t>45</w:t>
      </w:r>
      <w:r>
        <w:rPr>
          <w:rFonts w:hint="eastAsia" w:ascii="宋体" w:hAnsi="宋体" w:eastAsia="宋体" w:cs="宋体"/>
          <w:b/>
          <w:bCs/>
          <w:sz w:val="21"/>
          <w:szCs w:val="21"/>
          <w:highlight w:val="none"/>
        </w:rPr>
        <w:t>万元</w:t>
      </w:r>
    </w:p>
    <w:p w14:paraId="4198633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五、</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资格要求</w:t>
      </w:r>
    </w:p>
    <w:p w14:paraId="6A83B81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1.在中华人民共和国境内依法注册，具合法资格的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w:t>
      </w:r>
    </w:p>
    <w:p w14:paraId="60F35FB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2.单位负责人为同一人或者存在直接控股、管理关系的不同</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，不得参加同一合同项下的采购活动。</w:t>
      </w:r>
    </w:p>
    <w:p w14:paraId="625CEB3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3.</w:t>
      </w:r>
      <w:r>
        <w:rPr>
          <w:rFonts w:hint="eastAsia" w:ascii="宋体" w:hAnsi="宋体" w:eastAsia="宋体" w:cs="宋体"/>
          <w:kern w:val="0"/>
          <w:sz w:val="21"/>
          <w:szCs w:val="21"/>
          <w:highlight w:val="none"/>
        </w:rPr>
        <w:t>具有履行合同</w:t>
      </w:r>
      <w:bookmarkStart w:id="264" w:name="_GoBack"/>
      <w:bookmarkEnd w:id="264"/>
      <w:r>
        <w:rPr>
          <w:rFonts w:hint="eastAsia" w:ascii="宋体" w:hAnsi="宋体" w:eastAsia="宋体" w:cs="宋体"/>
          <w:kern w:val="0"/>
          <w:sz w:val="21"/>
          <w:szCs w:val="21"/>
          <w:highlight w:val="none"/>
        </w:rPr>
        <w:t>所必需的设备和专业技术能力。</w:t>
      </w:r>
    </w:p>
    <w:p w14:paraId="5799F362">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4.</w:t>
      </w:r>
      <w:r>
        <w:rPr>
          <w:rFonts w:hint="eastAsia" w:ascii="宋体" w:hAnsi="宋体" w:eastAsia="宋体" w:cs="宋体"/>
          <w:sz w:val="21"/>
          <w:szCs w:val="21"/>
          <w:highlight w:val="none"/>
        </w:rPr>
        <w:t>供应商参加本采购活动前3年内在经营活动中没有重大违法记录</w:t>
      </w:r>
      <w:r>
        <w:rPr>
          <w:rFonts w:hint="eastAsia" w:ascii="宋体" w:hAnsi="宋体" w:eastAsia="宋体" w:cs="宋体"/>
          <w:kern w:val="0"/>
          <w:sz w:val="21"/>
          <w:szCs w:val="21"/>
          <w:highlight w:val="none"/>
        </w:rPr>
        <w:t>。</w:t>
      </w:r>
    </w:p>
    <w:p w14:paraId="77A85B3B">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kern w:val="0"/>
          <w:sz w:val="21"/>
          <w:szCs w:val="21"/>
          <w:highlight w:val="none"/>
        </w:rPr>
        <w:t>5.</w:t>
      </w:r>
      <w:r>
        <w:rPr>
          <w:rFonts w:hint="eastAsia" w:ascii="宋体" w:hAnsi="宋体" w:eastAsia="宋体" w:cs="宋体"/>
          <w:sz w:val="21"/>
          <w:szCs w:val="21"/>
          <w:highlight w:val="none"/>
        </w:rPr>
        <w:t>对在“信用中国”网站(www.creditchina.gov.cn)渠道列入失信被执行人、重大税收违法失信主体、采购严重违法失信行为记录名单的供应商，不得参与本采购活动</w:t>
      </w:r>
      <w:r>
        <w:rPr>
          <w:rFonts w:hint="eastAsia" w:ascii="宋体" w:hAnsi="宋体" w:eastAsia="宋体" w:cs="宋体"/>
          <w:kern w:val="0"/>
          <w:sz w:val="21"/>
          <w:szCs w:val="21"/>
          <w:highlight w:val="none"/>
        </w:rPr>
        <w:t>。</w:t>
      </w:r>
    </w:p>
    <w:p w14:paraId="2C9FD8B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6.本项目不接受联合体</w:t>
      </w:r>
      <w:r>
        <w:rPr>
          <w:rFonts w:hint="eastAsia" w:ascii="宋体" w:hAnsi="宋体" w:eastAsia="宋体" w:cs="宋体"/>
          <w:sz w:val="21"/>
          <w:szCs w:val="21"/>
          <w:highlight w:val="none"/>
          <w:lang w:val="en-US" w:eastAsia="zh-CN"/>
        </w:rPr>
        <w:t>竞标</w:t>
      </w:r>
      <w:r>
        <w:rPr>
          <w:rFonts w:hint="eastAsia" w:ascii="宋体" w:hAnsi="宋体" w:eastAsia="宋体" w:cs="宋体"/>
          <w:sz w:val="21"/>
          <w:szCs w:val="21"/>
          <w:highlight w:val="none"/>
        </w:rPr>
        <w:t>。</w:t>
      </w:r>
    </w:p>
    <w:p w14:paraId="1EF077E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六、磋商文件的获取：</w:t>
      </w:r>
    </w:p>
    <w:p w14:paraId="09D7B8A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sz w:val="21"/>
          <w:szCs w:val="21"/>
          <w:highlight w:val="none"/>
        </w:rPr>
      </w:pPr>
      <w:r>
        <w:rPr>
          <w:rFonts w:hint="eastAsia" w:ascii="宋体" w:hAnsi="宋体" w:eastAsia="宋体" w:cs="宋体"/>
          <w:sz w:val="21"/>
          <w:szCs w:val="21"/>
          <w:highlight w:val="none"/>
        </w:rPr>
        <w:t>1.获取时间：请潜在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于本公告有效期限内</w:t>
      </w:r>
      <w:r>
        <w:rPr>
          <w:rFonts w:hint="eastAsia" w:ascii="宋体" w:hAnsi="宋体" w:eastAsia="宋体" w:cs="宋体"/>
          <w:sz w:val="21"/>
          <w:szCs w:val="21"/>
          <w:highlight w:val="none"/>
          <w:lang w:val="en-US" w:eastAsia="zh-CN"/>
        </w:rPr>
        <w:t>获取</w:t>
      </w:r>
      <w:r>
        <w:rPr>
          <w:rFonts w:hint="eastAsia" w:ascii="宋体" w:hAnsi="宋体" w:eastAsia="宋体" w:cs="宋体"/>
          <w:sz w:val="21"/>
          <w:szCs w:val="21"/>
          <w:highlight w:val="none"/>
        </w:rPr>
        <w:t>，即</w:t>
      </w:r>
      <w:r>
        <w:rPr>
          <w:rFonts w:hint="eastAsia" w:ascii="宋体" w:hAnsi="宋体" w:eastAsia="宋体" w:cs="宋体"/>
          <w:b/>
          <w:bCs/>
          <w:sz w:val="21"/>
          <w:szCs w:val="21"/>
          <w:highlight w:val="none"/>
        </w:rPr>
        <w:t>2025年</w:t>
      </w:r>
      <w:r>
        <w:rPr>
          <w:rFonts w:hint="eastAsia" w:ascii="宋体" w:hAnsi="宋体" w:cs="宋体"/>
          <w:b/>
          <w:bCs/>
          <w:sz w:val="21"/>
          <w:szCs w:val="21"/>
          <w:highlight w:val="none"/>
          <w:lang w:val="en-US" w:eastAsia="zh-CN"/>
        </w:rPr>
        <w:t>12</w:t>
      </w:r>
      <w:r>
        <w:rPr>
          <w:rFonts w:hint="eastAsia" w:ascii="宋体" w:hAnsi="宋体" w:eastAsia="宋体" w:cs="宋体"/>
          <w:b/>
          <w:bCs/>
          <w:sz w:val="21"/>
          <w:szCs w:val="21"/>
          <w:highlight w:val="none"/>
        </w:rPr>
        <w:t>月</w:t>
      </w:r>
      <w:r>
        <w:rPr>
          <w:rFonts w:hint="eastAsia" w:ascii="宋体" w:hAnsi="宋体" w:cs="宋体"/>
          <w:b/>
          <w:bCs/>
          <w:sz w:val="21"/>
          <w:szCs w:val="21"/>
          <w:highlight w:val="none"/>
          <w:lang w:val="en-US" w:eastAsia="zh-CN"/>
        </w:rPr>
        <w:t>18</w:t>
      </w:r>
      <w:r>
        <w:rPr>
          <w:rFonts w:hint="eastAsia" w:ascii="宋体" w:hAnsi="宋体" w:eastAsia="宋体" w:cs="宋体"/>
          <w:b/>
          <w:bCs/>
          <w:sz w:val="21"/>
          <w:szCs w:val="21"/>
          <w:highlight w:val="none"/>
        </w:rPr>
        <w:t>日至2025年</w:t>
      </w:r>
      <w:r>
        <w:rPr>
          <w:rFonts w:hint="eastAsia" w:ascii="宋体" w:hAnsi="宋体" w:cs="宋体"/>
          <w:b/>
          <w:bCs/>
          <w:sz w:val="21"/>
          <w:szCs w:val="21"/>
          <w:highlight w:val="none"/>
          <w:lang w:val="en-US" w:eastAsia="zh-CN"/>
        </w:rPr>
        <w:t>12</w:t>
      </w:r>
      <w:r>
        <w:rPr>
          <w:rFonts w:hint="eastAsia" w:ascii="宋体" w:hAnsi="宋体" w:eastAsia="宋体" w:cs="宋体"/>
          <w:b/>
          <w:bCs/>
          <w:sz w:val="21"/>
          <w:szCs w:val="21"/>
          <w:highlight w:val="none"/>
        </w:rPr>
        <w:t>月</w:t>
      </w:r>
      <w:r>
        <w:rPr>
          <w:rFonts w:hint="eastAsia" w:ascii="宋体" w:hAnsi="宋体" w:cs="宋体"/>
          <w:b/>
          <w:bCs/>
          <w:sz w:val="21"/>
          <w:szCs w:val="21"/>
          <w:highlight w:val="none"/>
          <w:lang w:val="en-US" w:eastAsia="zh-CN"/>
        </w:rPr>
        <w:t>25</w:t>
      </w:r>
      <w:r>
        <w:rPr>
          <w:rFonts w:hint="eastAsia" w:ascii="宋体" w:hAnsi="宋体" w:eastAsia="宋体" w:cs="宋体"/>
          <w:b/>
          <w:bCs/>
          <w:sz w:val="21"/>
          <w:szCs w:val="21"/>
          <w:highlight w:val="none"/>
        </w:rPr>
        <w:t>日17时止（北京时间）</w:t>
      </w:r>
    </w:p>
    <w:p w14:paraId="62E289B6">
      <w:pPr>
        <w:keepNext w:val="0"/>
        <w:keepLines w:val="0"/>
        <w:pageBreakBefore w:val="0"/>
        <w:kinsoku/>
        <w:overflowPunct/>
        <w:topLinePunct w:val="0"/>
        <w:autoSpaceDE/>
        <w:autoSpaceDN/>
        <w:bidi w:val="0"/>
        <w:adjustRightInd/>
        <w:snapToGrid w:val="0"/>
        <w:spacing w:line="400" w:lineRule="exact"/>
        <w:ind w:left="0" w:leftChars="0" w:firstLine="422" w:firstLineChars="200"/>
        <w:jc w:val="both"/>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2.获取方式：在线获取。</w:t>
      </w:r>
    </w:p>
    <w:p w14:paraId="6A8BBA5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（1）请潜在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登陆</w:t>
      </w:r>
      <w:r>
        <w:rPr>
          <w:rFonts w:hint="eastAsia" w:ascii="宋体" w:hAnsi="宋体" w:eastAsia="宋体" w:cs="宋体"/>
          <w:kern w:val="0"/>
          <w:sz w:val="21"/>
          <w:szCs w:val="21"/>
          <w:highlight w:val="none"/>
        </w:rPr>
        <w:t>桂林银行股份有限公司官网（https://www.guilinbank.com.cn/），在线下载完成</w:t>
      </w:r>
      <w:r>
        <w:rPr>
          <w:rFonts w:hint="eastAsia" w:ascii="宋体" w:hAnsi="宋体" w:eastAsia="宋体" w:cs="宋体"/>
          <w:kern w:val="0"/>
          <w:sz w:val="21"/>
          <w:szCs w:val="21"/>
          <w:highlight w:val="none"/>
          <w:lang w:val="en-US" w:eastAsia="zh-CN"/>
        </w:rPr>
        <w:t>磋商</w:t>
      </w:r>
      <w:r>
        <w:rPr>
          <w:rFonts w:hint="eastAsia" w:ascii="宋体" w:hAnsi="宋体" w:eastAsia="宋体" w:cs="宋体"/>
          <w:kern w:val="0"/>
          <w:sz w:val="21"/>
          <w:szCs w:val="21"/>
          <w:highlight w:val="none"/>
        </w:rPr>
        <w:t>文件的获取。获取方式：网站首页“关于桂银”之“集采专栏—招标公告”栏目中点击下载。</w:t>
      </w:r>
    </w:p>
    <w:p w14:paraId="47888370">
      <w:pPr>
        <w:pStyle w:val="19"/>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报名材料（格式详见附件）：①主体资格证明（如营业执照、事业单位法人证书、执业许可证等）；②法定代表人（负责人）及委托代理人身份证；③法定代表人（负责人）授权书（须注明项目名称、项目编号）。（以上资料要求为原件的清晰复印件并加盖公章）。并请于</w:t>
      </w:r>
      <w:r>
        <w:rPr>
          <w:rFonts w:hint="eastAsia" w:ascii="宋体" w:hAnsi="宋体" w:eastAsia="宋体" w:cs="宋体"/>
          <w:b/>
          <w:bCs/>
          <w:sz w:val="21"/>
          <w:szCs w:val="21"/>
          <w:highlight w:val="none"/>
        </w:rPr>
        <w:t>2025年</w:t>
      </w:r>
      <w:r>
        <w:rPr>
          <w:rFonts w:hint="eastAsia" w:ascii="宋体" w:hAnsi="宋体" w:cs="宋体"/>
          <w:b/>
          <w:bCs/>
          <w:sz w:val="21"/>
          <w:szCs w:val="21"/>
          <w:highlight w:val="none"/>
          <w:lang w:val="en-US" w:eastAsia="zh-CN"/>
        </w:rPr>
        <w:t>12</w:t>
      </w:r>
      <w:r>
        <w:rPr>
          <w:rFonts w:hint="eastAsia" w:ascii="宋体" w:hAnsi="宋体" w:eastAsia="宋体" w:cs="宋体"/>
          <w:b/>
          <w:bCs/>
          <w:sz w:val="21"/>
          <w:szCs w:val="21"/>
          <w:highlight w:val="none"/>
        </w:rPr>
        <w:t>月</w:t>
      </w:r>
      <w:r>
        <w:rPr>
          <w:rFonts w:hint="eastAsia" w:ascii="宋体" w:hAnsi="宋体" w:cs="宋体"/>
          <w:b/>
          <w:bCs/>
          <w:sz w:val="21"/>
          <w:szCs w:val="21"/>
          <w:highlight w:val="none"/>
          <w:lang w:val="en-US" w:eastAsia="zh-CN"/>
        </w:rPr>
        <w:t>25</w:t>
      </w:r>
      <w:r>
        <w:rPr>
          <w:rFonts w:hint="eastAsia" w:ascii="宋体" w:hAnsi="宋体" w:eastAsia="宋体" w:cs="宋体"/>
          <w:b/>
          <w:bCs/>
          <w:sz w:val="21"/>
          <w:szCs w:val="21"/>
          <w:highlight w:val="none"/>
        </w:rPr>
        <w:t>日17时前（北京时间）</w:t>
      </w:r>
      <w:r>
        <w:rPr>
          <w:rFonts w:hint="eastAsia" w:ascii="宋体" w:hAnsi="宋体" w:eastAsia="宋体" w:cs="宋体"/>
          <w:sz w:val="21"/>
          <w:szCs w:val="21"/>
          <w:highlight w:val="none"/>
        </w:rPr>
        <w:t>发送至</w:t>
      </w:r>
      <w:r>
        <w:rPr>
          <w:rFonts w:hint="eastAsia" w:ascii="宋体" w:hAnsi="宋体" w:eastAsia="宋体" w:cs="宋体"/>
          <w:b/>
          <w:bCs/>
          <w:sz w:val="21"/>
          <w:szCs w:val="21"/>
          <w:highlight w:val="none"/>
        </w:rPr>
        <w:t>jiczx@guilinbank.com.cn邮箱完成登记</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逾期将不予受理</w:t>
      </w:r>
      <w:r>
        <w:rPr>
          <w:rFonts w:hint="eastAsia" w:ascii="宋体" w:hAnsi="宋体" w:eastAsia="宋体" w:cs="宋体"/>
          <w:sz w:val="21"/>
          <w:szCs w:val="21"/>
          <w:highlight w:val="none"/>
        </w:rPr>
        <w:t>。</w:t>
      </w:r>
    </w:p>
    <w:p w14:paraId="109E59FC">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七、响应文件递交截止时间和地点：</w:t>
      </w:r>
    </w:p>
    <w:p w14:paraId="2EC0DC54">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
          <w:bCs/>
          <w:kern w:val="0"/>
          <w:sz w:val="21"/>
          <w:szCs w:val="21"/>
          <w:highlight w:val="none"/>
        </w:rPr>
      </w:pPr>
      <w:r>
        <w:rPr>
          <w:rFonts w:hint="eastAsia" w:ascii="宋体" w:hAnsi="宋体" w:eastAsia="宋体" w:cs="宋体"/>
          <w:kern w:val="0"/>
          <w:sz w:val="21"/>
          <w:szCs w:val="21"/>
          <w:highlight w:val="none"/>
        </w:rPr>
        <w:t>1.响应文件递交开始时间：</w:t>
      </w:r>
      <w:r>
        <w:rPr>
          <w:rFonts w:hint="eastAsia" w:ascii="宋体" w:hAnsi="宋体" w:eastAsia="宋体" w:cs="宋体"/>
          <w:b/>
          <w:bCs/>
          <w:kern w:val="0"/>
          <w:sz w:val="21"/>
          <w:szCs w:val="21"/>
          <w:highlight w:val="none"/>
        </w:rPr>
        <w:t>202</w:t>
      </w:r>
      <w:r>
        <w:rPr>
          <w:rFonts w:hint="eastAsia" w:ascii="宋体" w:hAnsi="宋体" w:cs="宋体"/>
          <w:b/>
          <w:bCs/>
          <w:kern w:val="0"/>
          <w:sz w:val="21"/>
          <w:szCs w:val="21"/>
          <w:highlight w:val="none"/>
          <w:lang w:val="en-US" w:eastAsia="zh-CN"/>
        </w:rPr>
        <w:t>5</w:t>
      </w:r>
      <w:r>
        <w:rPr>
          <w:rFonts w:hint="eastAsia" w:ascii="宋体" w:hAnsi="宋体" w:eastAsia="宋体" w:cs="宋体"/>
          <w:b/>
          <w:bCs/>
          <w:kern w:val="0"/>
          <w:sz w:val="21"/>
          <w:szCs w:val="21"/>
          <w:highlight w:val="none"/>
        </w:rPr>
        <w:t>年</w:t>
      </w:r>
      <w:r>
        <w:rPr>
          <w:rFonts w:hint="eastAsia" w:ascii="宋体" w:hAnsi="宋体" w:cs="宋体"/>
          <w:b/>
          <w:bCs/>
          <w:kern w:val="0"/>
          <w:sz w:val="21"/>
          <w:szCs w:val="21"/>
          <w:highlight w:val="none"/>
          <w:lang w:val="en-US" w:eastAsia="zh-CN"/>
        </w:rPr>
        <w:t>12</w:t>
      </w:r>
      <w:r>
        <w:rPr>
          <w:rFonts w:hint="eastAsia" w:ascii="宋体" w:hAnsi="宋体" w:eastAsia="宋体" w:cs="宋体"/>
          <w:b/>
          <w:bCs/>
          <w:kern w:val="0"/>
          <w:sz w:val="21"/>
          <w:szCs w:val="21"/>
          <w:highlight w:val="none"/>
        </w:rPr>
        <w:t>月</w:t>
      </w:r>
      <w:r>
        <w:rPr>
          <w:rFonts w:hint="eastAsia" w:ascii="宋体" w:hAnsi="宋体" w:cs="宋体"/>
          <w:b/>
          <w:bCs/>
          <w:kern w:val="0"/>
          <w:sz w:val="21"/>
          <w:szCs w:val="21"/>
          <w:highlight w:val="none"/>
          <w:lang w:val="en-US" w:eastAsia="zh-CN"/>
        </w:rPr>
        <w:t>29</w:t>
      </w:r>
      <w:r>
        <w:rPr>
          <w:rFonts w:hint="eastAsia" w:ascii="宋体" w:hAnsi="宋体" w:eastAsia="宋体" w:cs="宋体"/>
          <w:b/>
          <w:bCs/>
          <w:kern w:val="0"/>
          <w:sz w:val="21"/>
          <w:szCs w:val="21"/>
          <w:highlight w:val="none"/>
        </w:rPr>
        <w:t>日</w:t>
      </w:r>
      <w:r>
        <w:rPr>
          <w:rFonts w:hint="eastAsia" w:ascii="宋体" w:hAnsi="宋体" w:cs="宋体"/>
          <w:b/>
          <w:bCs/>
          <w:kern w:val="0"/>
          <w:sz w:val="21"/>
          <w:szCs w:val="21"/>
          <w:highlight w:val="none"/>
          <w:lang w:val="en-US" w:eastAsia="zh-CN"/>
        </w:rPr>
        <w:t>14</w:t>
      </w:r>
      <w:r>
        <w:rPr>
          <w:rFonts w:hint="eastAsia" w:ascii="宋体" w:hAnsi="宋体" w:eastAsia="宋体" w:cs="宋体"/>
          <w:b/>
          <w:bCs/>
          <w:kern w:val="0"/>
          <w:sz w:val="21"/>
          <w:szCs w:val="21"/>
          <w:highlight w:val="none"/>
        </w:rPr>
        <w:t>时45分</w:t>
      </w:r>
      <w:r>
        <w:rPr>
          <w:rFonts w:hint="eastAsia" w:ascii="宋体" w:hAnsi="宋体" w:eastAsia="宋体" w:cs="宋体"/>
          <w:kern w:val="0"/>
          <w:sz w:val="21"/>
          <w:szCs w:val="21"/>
          <w:highlight w:val="none"/>
        </w:rPr>
        <w:t>（北京时间）。</w:t>
      </w:r>
    </w:p>
    <w:p w14:paraId="43F169BD">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2.响应文件递交截止时间：</w:t>
      </w:r>
      <w:r>
        <w:rPr>
          <w:rFonts w:hint="eastAsia" w:ascii="宋体" w:hAnsi="宋体" w:eastAsia="宋体" w:cs="宋体"/>
          <w:b/>
          <w:bCs/>
          <w:kern w:val="0"/>
          <w:sz w:val="21"/>
          <w:szCs w:val="21"/>
          <w:highlight w:val="none"/>
        </w:rPr>
        <w:t>202</w:t>
      </w:r>
      <w:r>
        <w:rPr>
          <w:rFonts w:hint="eastAsia" w:ascii="宋体" w:hAnsi="宋体" w:cs="宋体"/>
          <w:b/>
          <w:bCs/>
          <w:kern w:val="0"/>
          <w:sz w:val="21"/>
          <w:szCs w:val="21"/>
          <w:highlight w:val="none"/>
          <w:lang w:val="en-US" w:eastAsia="zh-CN"/>
        </w:rPr>
        <w:t>5</w:t>
      </w:r>
      <w:r>
        <w:rPr>
          <w:rFonts w:hint="eastAsia" w:ascii="宋体" w:hAnsi="宋体" w:eastAsia="宋体" w:cs="宋体"/>
          <w:b/>
          <w:bCs/>
          <w:kern w:val="0"/>
          <w:sz w:val="21"/>
          <w:szCs w:val="21"/>
          <w:highlight w:val="none"/>
        </w:rPr>
        <w:t>年</w:t>
      </w:r>
      <w:r>
        <w:rPr>
          <w:rFonts w:hint="eastAsia" w:ascii="宋体" w:hAnsi="宋体" w:cs="宋体"/>
          <w:b/>
          <w:bCs/>
          <w:kern w:val="0"/>
          <w:sz w:val="21"/>
          <w:szCs w:val="21"/>
          <w:highlight w:val="none"/>
          <w:lang w:val="en-US" w:eastAsia="zh-CN"/>
        </w:rPr>
        <w:t>12</w:t>
      </w:r>
      <w:r>
        <w:rPr>
          <w:rFonts w:hint="eastAsia" w:ascii="宋体" w:hAnsi="宋体" w:eastAsia="宋体" w:cs="宋体"/>
          <w:b/>
          <w:bCs/>
          <w:kern w:val="0"/>
          <w:sz w:val="21"/>
          <w:szCs w:val="21"/>
          <w:highlight w:val="none"/>
        </w:rPr>
        <w:t>月</w:t>
      </w:r>
      <w:r>
        <w:rPr>
          <w:rFonts w:hint="eastAsia" w:ascii="宋体" w:hAnsi="宋体" w:cs="宋体"/>
          <w:b/>
          <w:bCs/>
          <w:kern w:val="0"/>
          <w:sz w:val="21"/>
          <w:szCs w:val="21"/>
          <w:highlight w:val="none"/>
          <w:lang w:val="en-US" w:eastAsia="zh-CN"/>
        </w:rPr>
        <w:t>29</w:t>
      </w:r>
      <w:r>
        <w:rPr>
          <w:rFonts w:hint="eastAsia" w:ascii="宋体" w:hAnsi="宋体" w:eastAsia="宋体" w:cs="宋体"/>
          <w:b/>
          <w:bCs/>
          <w:kern w:val="0"/>
          <w:sz w:val="21"/>
          <w:szCs w:val="21"/>
          <w:highlight w:val="none"/>
        </w:rPr>
        <w:t>日</w:t>
      </w:r>
      <w:r>
        <w:rPr>
          <w:rFonts w:hint="eastAsia" w:ascii="宋体" w:hAnsi="宋体" w:cs="宋体"/>
          <w:b/>
          <w:bCs/>
          <w:kern w:val="0"/>
          <w:sz w:val="21"/>
          <w:szCs w:val="21"/>
          <w:highlight w:val="none"/>
          <w:lang w:val="en-US" w:eastAsia="zh-CN"/>
        </w:rPr>
        <w:t>15</w:t>
      </w:r>
      <w:r>
        <w:rPr>
          <w:rFonts w:hint="eastAsia" w:ascii="宋体" w:hAnsi="宋体" w:eastAsia="宋体" w:cs="宋体"/>
          <w:b/>
          <w:bCs/>
          <w:kern w:val="0"/>
          <w:sz w:val="21"/>
          <w:szCs w:val="21"/>
          <w:highlight w:val="none"/>
        </w:rPr>
        <w:t>时00分</w:t>
      </w:r>
      <w:r>
        <w:rPr>
          <w:rFonts w:hint="eastAsia" w:ascii="宋体" w:hAnsi="宋体" w:eastAsia="宋体" w:cs="宋体"/>
          <w:kern w:val="0"/>
          <w:sz w:val="21"/>
          <w:szCs w:val="21"/>
          <w:highlight w:val="none"/>
        </w:rPr>
        <w:t>（北京时间）。</w:t>
      </w:r>
    </w:p>
    <w:p w14:paraId="55A74BB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3.递交地点：</w:t>
      </w:r>
      <w:r>
        <w:rPr>
          <w:rFonts w:hint="eastAsia" w:ascii="宋体" w:hAnsi="宋体" w:eastAsia="宋体" w:cs="宋体"/>
          <w:kern w:val="0"/>
          <w:sz w:val="21"/>
          <w:szCs w:val="21"/>
          <w:highlight w:val="none"/>
          <w:lang w:eastAsia="zh-CN"/>
        </w:rPr>
        <w:t>供应商</w:t>
      </w:r>
      <w:r>
        <w:rPr>
          <w:rFonts w:hint="eastAsia" w:ascii="宋体" w:hAnsi="宋体" w:eastAsia="宋体" w:cs="宋体"/>
          <w:kern w:val="0"/>
          <w:sz w:val="21"/>
          <w:szCs w:val="21"/>
          <w:highlight w:val="none"/>
        </w:rPr>
        <w:t>应在响应文件递交起止时间内将响应文件密封递交到</w:t>
      </w:r>
      <w:r>
        <w:rPr>
          <w:rFonts w:hint="eastAsia" w:ascii="宋体" w:hAnsi="宋体" w:eastAsia="宋体" w:cs="宋体"/>
          <w:b/>
          <w:bCs/>
          <w:kern w:val="0"/>
          <w:sz w:val="21"/>
          <w:szCs w:val="21"/>
          <w:highlight w:val="none"/>
        </w:rPr>
        <w:t>桂林银行（</w:t>
      </w:r>
      <w:r>
        <w:rPr>
          <w:rFonts w:hint="eastAsia" w:ascii="宋体" w:hAnsi="宋体" w:eastAsia="宋体" w:cs="宋体"/>
          <w:b/>
          <w:bCs/>
          <w:sz w:val="21"/>
          <w:szCs w:val="21"/>
          <w:highlight w:val="none"/>
        </w:rPr>
        <w:t>广西桂林市临桂区公园北路8号桂林金融大厦A附楼三楼</w:t>
      </w:r>
      <w:r>
        <w:rPr>
          <w:rFonts w:hint="eastAsia" w:ascii="宋体" w:hAnsi="宋体" w:eastAsia="宋体" w:cs="宋体"/>
          <w:b/>
          <w:bCs/>
          <w:kern w:val="0"/>
          <w:sz w:val="21"/>
          <w:szCs w:val="21"/>
          <w:highlight w:val="none"/>
        </w:rPr>
        <w:t>）</w:t>
      </w:r>
      <w:r>
        <w:rPr>
          <w:rFonts w:hint="eastAsia" w:ascii="宋体" w:hAnsi="宋体" w:eastAsia="宋体" w:cs="宋体"/>
          <w:kern w:val="0"/>
          <w:sz w:val="21"/>
          <w:szCs w:val="21"/>
          <w:highlight w:val="none"/>
        </w:rPr>
        <w:t>，逾期送达的、未送达指定地点的或者不按照磋商文件要求密封的响应文件将予以拒收。</w:t>
      </w:r>
    </w:p>
    <w:p w14:paraId="1E5E94B6">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八、磋商时间及地点：响应文件递交截止时间后为</w:t>
      </w:r>
      <w:r>
        <w:rPr>
          <w:rFonts w:hint="eastAsia" w:ascii="宋体" w:hAnsi="宋体" w:eastAsia="宋体" w:cs="宋体"/>
          <w:sz w:val="21"/>
          <w:szCs w:val="21"/>
          <w:highlight w:val="none"/>
          <w:lang w:val="en-US" w:eastAsia="zh-CN"/>
        </w:rPr>
        <w:t>评审</w:t>
      </w:r>
      <w:r>
        <w:rPr>
          <w:rFonts w:hint="eastAsia" w:ascii="宋体" w:hAnsi="宋体" w:eastAsia="宋体" w:cs="宋体"/>
          <w:sz w:val="21"/>
          <w:szCs w:val="21"/>
          <w:highlight w:val="none"/>
        </w:rPr>
        <w:t>小组与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磋商时间，地点：广西桂林市临桂区公园北路8号桂林金融大厦A附楼三楼会议室，参加磋商的法定代表人或委托代理人必须持有效身份证原件，依时到达指定地点等候磋商。</w:t>
      </w:r>
    </w:p>
    <w:p w14:paraId="5EC6BC1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九、联系方式</w:t>
      </w:r>
    </w:p>
    <w:p w14:paraId="626DE3C8">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采购人：桂林银行股份有限公司</w:t>
      </w:r>
    </w:p>
    <w:p w14:paraId="40BFD3F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 系 人：李经理</w:t>
      </w:r>
    </w:p>
    <w:p w14:paraId="46F9D901">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联系电话：0773-5592002</w:t>
      </w:r>
    </w:p>
    <w:p w14:paraId="3B13E107">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地址：广西桂林市临桂区公园北路8号桂林金融大厦A附楼三楼</w:t>
      </w:r>
    </w:p>
    <w:p w14:paraId="6C83E351">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电子邮箱：jiczx@guilinbank.com.cn</w:t>
      </w:r>
    </w:p>
    <w:p w14:paraId="3050D405">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bCs/>
          <w:sz w:val="21"/>
          <w:szCs w:val="21"/>
          <w:highlight w:val="none"/>
        </w:rPr>
      </w:pPr>
      <w:r>
        <w:rPr>
          <w:rFonts w:hint="eastAsia" w:ascii="宋体" w:hAnsi="宋体" w:eastAsia="宋体" w:cs="宋体"/>
          <w:sz w:val="21"/>
          <w:szCs w:val="21"/>
          <w:highlight w:val="none"/>
        </w:rPr>
        <w:t>咨询时间：工作日上午</w:t>
      </w:r>
      <w:r>
        <w:rPr>
          <w:rFonts w:hint="eastAsia" w:ascii="宋体" w:hAnsi="宋体" w:eastAsia="宋体" w:cs="宋体"/>
          <w:bCs/>
          <w:sz w:val="21"/>
          <w:szCs w:val="21"/>
          <w:highlight w:val="none"/>
        </w:rPr>
        <w:t>8:30-12:00，下午14:30-17:30</w:t>
      </w:r>
    </w:p>
    <w:p w14:paraId="2E125D57">
      <w:pPr>
        <w:pStyle w:val="2"/>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kern w:val="0"/>
          <w:sz w:val="21"/>
          <w:szCs w:val="21"/>
          <w:highlight w:val="none"/>
        </w:rPr>
      </w:pPr>
      <w:r>
        <w:rPr>
          <w:rFonts w:hint="eastAsia" w:ascii="宋体" w:hAnsi="宋体" w:eastAsia="宋体" w:cs="宋体"/>
          <w:sz w:val="21"/>
          <w:szCs w:val="21"/>
          <w:highlight w:val="none"/>
        </w:rPr>
        <w:t>十、公告网站：</w:t>
      </w:r>
      <w:r>
        <w:rPr>
          <w:rFonts w:hint="eastAsia" w:ascii="宋体" w:hAnsi="宋体" w:eastAsia="宋体" w:cs="宋体"/>
          <w:kern w:val="0"/>
          <w:sz w:val="21"/>
          <w:szCs w:val="21"/>
          <w:highlight w:val="none"/>
        </w:rPr>
        <w:t>桂林银行股份有限公司官网https://www.guilinbank.com.cn/，广西阳光采购服务平台https://ygcgxz.bbwcq.com/#/index</w:t>
      </w:r>
    </w:p>
    <w:p w14:paraId="2221930E">
      <w:pPr>
        <w:keepNext w:val="0"/>
        <w:keepLines w:val="0"/>
        <w:pageBreakBefore w:val="0"/>
        <w:kinsoku/>
        <w:overflowPunct/>
        <w:topLinePunct w:val="0"/>
        <w:autoSpaceDE/>
        <w:autoSpaceDN/>
        <w:bidi w:val="0"/>
        <w:adjustRightInd/>
        <w:snapToGrid w:val="0"/>
        <w:spacing w:line="400" w:lineRule="exact"/>
        <w:ind w:left="0" w:leftChars="0" w:firstLine="420" w:firstLineChars="200"/>
        <w:jc w:val="both"/>
        <w:textAlignment w:val="auto"/>
        <w:rPr>
          <w:rFonts w:hint="eastAsia" w:ascii="宋体" w:hAnsi="宋体" w:eastAsia="宋体" w:cs="宋体"/>
          <w:sz w:val="21"/>
          <w:szCs w:val="21"/>
          <w:highlight w:val="none"/>
        </w:rPr>
      </w:pPr>
    </w:p>
    <w:p w14:paraId="4EA095F0">
      <w:pPr>
        <w:pStyle w:val="2"/>
        <w:keepNext w:val="0"/>
        <w:keepLines w:val="0"/>
        <w:pageBreakBefore w:val="0"/>
        <w:kinsoku/>
        <w:overflowPunct/>
        <w:topLinePunct w:val="0"/>
        <w:autoSpaceDE/>
        <w:autoSpaceDN/>
        <w:bidi w:val="0"/>
        <w:adjustRightInd/>
        <w:snapToGrid w:val="0"/>
        <w:spacing w:after="0" w:line="400" w:lineRule="exact"/>
        <w:ind w:left="0" w:leftChars="0" w:firstLine="420" w:firstLineChars="200"/>
        <w:jc w:val="both"/>
        <w:textAlignment w:val="auto"/>
        <w:rPr>
          <w:rFonts w:hint="eastAsia" w:ascii="宋体" w:hAnsi="宋体" w:eastAsia="宋体" w:cs="宋体"/>
          <w:sz w:val="21"/>
          <w:szCs w:val="21"/>
          <w:highlight w:val="none"/>
        </w:rPr>
      </w:pPr>
    </w:p>
    <w:p w14:paraId="1EE4DD2F">
      <w:pPr>
        <w:keepNext w:val="0"/>
        <w:keepLines w:val="0"/>
        <w:pageBreakBefore w:val="0"/>
        <w:kinsoku/>
        <w:wordWrap w:val="0"/>
        <w:overflowPunct/>
        <w:topLinePunct w:val="0"/>
        <w:autoSpaceDE/>
        <w:autoSpaceDN/>
        <w:bidi w:val="0"/>
        <w:adjustRightInd/>
        <w:snapToGrid w:val="0"/>
        <w:spacing w:line="400" w:lineRule="exact"/>
        <w:ind w:left="0" w:leftChars="0" w:firstLine="420" w:firstLineChars="200"/>
        <w:jc w:val="righ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rPr>
        <w:t>桂林银行股份有限公司</w:t>
      </w:r>
      <w:r>
        <w:rPr>
          <w:rFonts w:hint="eastAsia" w:ascii="宋体" w:hAnsi="宋体" w:eastAsia="宋体" w:cs="宋体"/>
          <w:sz w:val="21"/>
          <w:szCs w:val="21"/>
          <w:highlight w:val="none"/>
          <w:lang w:val="en-US" w:eastAsia="zh-CN"/>
        </w:rPr>
        <w:t xml:space="preserve">    </w:t>
      </w:r>
    </w:p>
    <w:p w14:paraId="7AFD018D">
      <w:pPr>
        <w:pStyle w:val="2"/>
        <w:keepNext w:val="0"/>
        <w:keepLines w:val="0"/>
        <w:pageBreakBefore w:val="0"/>
        <w:kinsoku/>
        <w:wordWrap w:val="0"/>
        <w:overflowPunct/>
        <w:topLinePunct w:val="0"/>
        <w:autoSpaceDE/>
        <w:autoSpaceDN/>
        <w:bidi w:val="0"/>
        <w:adjustRightInd/>
        <w:snapToGrid w:val="0"/>
        <w:spacing w:after="0" w:line="400" w:lineRule="exact"/>
        <w:ind w:left="0" w:leftChars="0" w:firstLine="388" w:firstLineChars="200"/>
        <w:jc w:val="right"/>
        <w:textAlignment w:val="auto"/>
        <w:rPr>
          <w:rFonts w:hint="eastAsia" w:ascii="宋体" w:hAnsi="宋体" w:eastAsia="宋体" w:cs="宋体"/>
          <w:bCs/>
          <w:spacing w:val="-8"/>
          <w:sz w:val="21"/>
          <w:szCs w:val="21"/>
          <w:highlight w:val="none"/>
        </w:rPr>
      </w:pPr>
      <w:r>
        <w:rPr>
          <w:rFonts w:hint="eastAsia" w:ascii="宋体" w:hAnsi="宋体" w:eastAsia="宋体" w:cs="宋体"/>
          <w:bCs/>
          <w:spacing w:val="-8"/>
          <w:sz w:val="21"/>
          <w:szCs w:val="21"/>
          <w:highlight w:val="none"/>
        </w:rPr>
        <w:t>2025年</w:t>
      </w:r>
      <w:r>
        <w:rPr>
          <w:rFonts w:hint="eastAsia" w:ascii="宋体" w:hAnsi="宋体" w:cs="宋体"/>
          <w:bCs/>
          <w:spacing w:val="-8"/>
          <w:sz w:val="21"/>
          <w:szCs w:val="21"/>
          <w:highlight w:val="none"/>
          <w:lang w:val="en-US" w:eastAsia="zh-CN"/>
        </w:rPr>
        <w:t>12</w:t>
      </w:r>
      <w:r>
        <w:rPr>
          <w:rFonts w:hint="eastAsia" w:ascii="宋体" w:hAnsi="宋体" w:eastAsia="宋体" w:cs="宋体"/>
          <w:bCs/>
          <w:spacing w:val="-8"/>
          <w:sz w:val="21"/>
          <w:szCs w:val="21"/>
          <w:highlight w:val="none"/>
        </w:rPr>
        <w:t>月</w:t>
      </w:r>
      <w:r>
        <w:rPr>
          <w:rFonts w:hint="eastAsia" w:ascii="宋体" w:hAnsi="宋体" w:cs="宋体"/>
          <w:bCs/>
          <w:spacing w:val="-8"/>
          <w:sz w:val="21"/>
          <w:szCs w:val="21"/>
          <w:highlight w:val="none"/>
          <w:lang w:val="en-US" w:eastAsia="zh-CN"/>
        </w:rPr>
        <w:t>18</w:t>
      </w:r>
      <w:r>
        <w:rPr>
          <w:rFonts w:hint="eastAsia" w:ascii="宋体" w:hAnsi="宋体" w:eastAsia="宋体" w:cs="宋体"/>
          <w:bCs/>
          <w:spacing w:val="-8"/>
          <w:sz w:val="21"/>
          <w:szCs w:val="21"/>
          <w:highlight w:val="none"/>
        </w:rPr>
        <w:t>日</w:t>
      </w:r>
      <w:r>
        <w:rPr>
          <w:rFonts w:hint="eastAsia" w:ascii="宋体" w:hAnsi="宋体" w:eastAsia="宋体" w:cs="宋体"/>
          <w:bCs/>
          <w:spacing w:val="-8"/>
          <w:sz w:val="21"/>
          <w:szCs w:val="21"/>
          <w:highlight w:val="none"/>
          <w:lang w:val="en-US" w:eastAsia="zh-CN"/>
        </w:rPr>
        <w:t xml:space="preserve"> </w:t>
      </w:r>
      <w:r>
        <w:rPr>
          <w:rFonts w:hint="eastAsia" w:ascii="宋体" w:hAnsi="宋体" w:eastAsia="宋体" w:cs="宋体"/>
          <w:bCs/>
          <w:spacing w:val="-8"/>
          <w:sz w:val="21"/>
          <w:szCs w:val="21"/>
          <w:highlight w:val="none"/>
        </w:rPr>
        <w:t xml:space="preserve">      </w:t>
      </w:r>
    </w:p>
    <w:p w14:paraId="58E17DCA">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spacing w:val="-8"/>
          <w:sz w:val="21"/>
          <w:szCs w:val="21"/>
          <w:highlight w:val="none"/>
        </w:rPr>
      </w:pPr>
    </w:p>
    <w:p w14:paraId="4631B33C">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spacing w:val="-8"/>
          <w:sz w:val="21"/>
          <w:szCs w:val="21"/>
          <w:highlight w:val="none"/>
        </w:rPr>
      </w:pPr>
    </w:p>
    <w:p w14:paraId="7542AF15">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hint="eastAsia" w:ascii="宋体" w:hAnsi="宋体" w:eastAsia="宋体" w:cs="宋体"/>
          <w:bCs/>
          <w:spacing w:val="-8"/>
          <w:sz w:val="21"/>
          <w:szCs w:val="21"/>
          <w:highlight w:val="none"/>
        </w:rPr>
      </w:pPr>
    </w:p>
    <w:p w14:paraId="69D3F6F4">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spacing w:val="-8"/>
          <w:sz w:val="21"/>
          <w:szCs w:val="21"/>
          <w:highlight w:val="none"/>
        </w:rPr>
      </w:pPr>
    </w:p>
    <w:p w14:paraId="4488B195">
      <w:pPr>
        <w:pStyle w:val="2"/>
        <w:keepNext w:val="0"/>
        <w:keepLines w:val="0"/>
        <w:pageBreakBefore w:val="0"/>
        <w:kinsoku/>
        <w:overflowPunct/>
        <w:topLinePunct w:val="0"/>
        <w:autoSpaceDE/>
        <w:autoSpaceDN/>
        <w:bidi w:val="0"/>
        <w:adjustRightInd/>
        <w:snapToGrid w:val="0"/>
        <w:spacing w:after="0" w:line="400" w:lineRule="exact"/>
        <w:ind w:left="0" w:leftChars="0" w:firstLine="388" w:firstLineChars="200"/>
        <w:jc w:val="both"/>
        <w:textAlignment w:val="auto"/>
        <w:rPr>
          <w:rFonts w:eastAsiaTheme="minorEastAsia"/>
          <w:bCs/>
          <w:spacing w:val="-8"/>
          <w:sz w:val="21"/>
          <w:szCs w:val="21"/>
          <w:highlight w:val="none"/>
        </w:rPr>
      </w:pPr>
    </w:p>
    <w:p w14:paraId="167E557C">
      <w:pPr>
        <w:keepNext w:val="0"/>
        <w:keepLines w:val="0"/>
        <w:pageBreakBefore w:val="0"/>
        <w:widowControl/>
        <w:kinsoku/>
        <w:overflowPunct/>
        <w:topLinePunct w:val="0"/>
        <w:autoSpaceDE/>
        <w:autoSpaceDN/>
        <w:bidi w:val="0"/>
        <w:adjustRightInd/>
        <w:snapToGrid w:val="0"/>
        <w:spacing w:line="400" w:lineRule="exact"/>
        <w:ind w:left="0" w:leftChars="0" w:firstLine="420" w:firstLineChars="200"/>
        <w:jc w:val="both"/>
        <w:textAlignment w:val="auto"/>
        <w:rPr>
          <w:rFonts w:ascii="小标宋" w:hAnsi="小标宋" w:eastAsia="小标宋" w:cs="小标宋"/>
          <w:kern w:val="44"/>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720" w:num="1"/>
          <w:docGrid w:type="lines" w:linePitch="312" w:charSpace="0"/>
        </w:sectPr>
      </w:pPr>
    </w:p>
    <w:p w14:paraId="69D9F5C3">
      <w:pPr>
        <w:rPr>
          <w:sz w:val="28"/>
          <w:szCs w:val="28"/>
          <w:highlight w:val="none"/>
        </w:rPr>
      </w:pPr>
      <w:bookmarkStart w:id="49" w:name="_Toc18462"/>
      <w:bookmarkStart w:id="50" w:name="_Toc2214"/>
      <w:bookmarkStart w:id="51" w:name="_Toc449"/>
      <w:bookmarkStart w:id="52" w:name="_Toc15383"/>
      <w:bookmarkStart w:id="53" w:name="_Toc12631"/>
      <w:bookmarkStart w:id="54" w:name="_Toc4282"/>
      <w:bookmarkStart w:id="55" w:name="_Toc113"/>
      <w:bookmarkStart w:id="56" w:name="_Toc23696"/>
      <w:bookmarkStart w:id="57" w:name="_Toc13572"/>
      <w:bookmarkStart w:id="58" w:name="_Toc14736"/>
      <w:bookmarkStart w:id="59" w:name="_Toc10441"/>
      <w:bookmarkStart w:id="60" w:name="_Toc17506"/>
      <w:bookmarkStart w:id="61" w:name="_Toc30110"/>
      <w:bookmarkStart w:id="62" w:name="_Toc6211"/>
      <w:bookmarkStart w:id="63" w:name="_Toc12908"/>
      <w:bookmarkStart w:id="64" w:name="_Toc25406"/>
      <w:bookmarkStart w:id="65" w:name="_Toc29735"/>
      <w:bookmarkStart w:id="66" w:name="_Toc13165"/>
      <w:bookmarkStart w:id="67" w:name="_Toc14095"/>
      <w:bookmarkStart w:id="68" w:name="_Toc31118"/>
      <w:bookmarkStart w:id="69" w:name="_Toc26607"/>
      <w:bookmarkStart w:id="70" w:name="_Toc31877"/>
      <w:bookmarkStart w:id="71" w:name="_Toc10162"/>
      <w:bookmarkStart w:id="72" w:name="_Toc10130"/>
      <w:bookmarkStart w:id="73" w:name="_Toc10483"/>
      <w:bookmarkStart w:id="74" w:name="_Toc8040"/>
      <w:bookmarkStart w:id="75" w:name="_Toc9951096"/>
      <w:bookmarkStart w:id="76" w:name="_Toc3189"/>
      <w:bookmarkStart w:id="77" w:name="_Toc13004"/>
      <w:bookmarkStart w:id="78" w:name="_Toc22237"/>
      <w:bookmarkStart w:id="79" w:name="_Toc15745"/>
      <w:bookmarkStart w:id="80" w:name="_Toc28229"/>
      <w:bookmarkStart w:id="81" w:name="_Toc18082"/>
      <w:bookmarkStart w:id="82" w:name="_Toc9759"/>
      <w:bookmarkStart w:id="83" w:name="_Toc7443"/>
      <w:bookmarkStart w:id="84" w:name="_Toc868"/>
      <w:bookmarkStart w:id="85" w:name="_Toc12230"/>
      <w:bookmarkStart w:id="86" w:name="_Toc32609"/>
      <w:bookmarkStart w:id="87" w:name="_Toc19486"/>
      <w:bookmarkStart w:id="88" w:name="_Toc14293"/>
      <w:bookmarkStart w:id="89" w:name="_Toc30881"/>
      <w:bookmarkStart w:id="90" w:name="_Toc2774"/>
      <w:bookmarkStart w:id="91" w:name="_Toc6678"/>
      <w:bookmarkStart w:id="92" w:name="_Toc31903"/>
      <w:bookmarkStart w:id="93" w:name="_Toc3384"/>
      <w:bookmarkStart w:id="94" w:name="_Toc9242"/>
      <w:r>
        <w:rPr>
          <w:rFonts w:hint="eastAsia"/>
          <w:sz w:val="28"/>
          <w:szCs w:val="28"/>
          <w:highlight w:val="none"/>
          <w:lang w:val="en"/>
        </w:rPr>
        <w:t>附件：</w:t>
      </w:r>
      <w:r>
        <w:rPr>
          <w:rFonts w:hint="eastAsia"/>
          <w:sz w:val="28"/>
          <w:szCs w:val="28"/>
          <w:highlight w:val="none"/>
        </w:rPr>
        <w:t>报名材料格式</w:t>
      </w:r>
    </w:p>
    <w:p w14:paraId="0419F0CB">
      <w:pPr>
        <w:rPr>
          <w:sz w:val="28"/>
          <w:szCs w:val="28"/>
          <w:highlight w:val="none"/>
        </w:rPr>
      </w:pPr>
      <w:r>
        <w:rPr>
          <w:rFonts w:hint="eastAsia"/>
          <w:sz w:val="28"/>
          <w:szCs w:val="28"/>
          <w:highlight w:val="none"/>
        </w:rPr>
        <w:t>①主体资格证明（如营业执照、事业单位法人证书、执业许可证等）；</w:t>
      </w:r>
    </w:p>
    <w:p w14:paraId="65D8256A">
      <w:pPr>
        <w:rPr>
          <w:sz w:val="28"/>
          <w:szCs w:val="28"/>
          <w:highlight w:val="none"/>
        </w:rPr>
      </w:pPr>
    </w:p>
    <w:p w14:paraId="6C3BA286">
      <w:pPr>
        <w:rPr>
          <w:sz w:val="28"/>
          <w:szCs w:val="28"/>
          <w:highlight w:val="none"/>
        </w:rPr>
      </w:pPr>
    </w:p>
    <w:p w14:paraId="14F4777A">
      <w:pPr>
        <w:rPr>
          <w:sz w:val="28"/>
          <w:szCs w:val="28"/>
          <w:highlight w:val="none"/>
        </w:rPr>
      </w:pPr>
      <w:r>
        <w:rPr>
          <w:rFonts w:hint="eastAsia"/>
          <w:sz w:val="28"/>
          <w:szCs w:val="28"/>
          <w:highlight w:val="none"/>
        </w:rPr>
        <w:t>②法定代表人（负责人）及委托代理人身份证；</w:t>
      </w:r>
    </w:p>
    <w:p w14:paraId="05D255C2">
      <w:pPr>
        <w:rPr>
          <w:sz w:val="28"/>
          <w:szCs w:val="28"/>
          <w:highlight w:val="none"/>
        </w:rPr>
      </w:pPr>
    </w:p>
    <w:p w14:paraId="30433FAA">
      <w:pPr>
        <w:rPr>
          <w:sz w:val="28"/>
          <w:szCs w:val="28"/>
          <w:highlight w:val="none"/>
        </w:rPr>
      </w:pPr>
    </w:p>
    <w:p w14:paraId="75294155">
      <w:pPr>
        <w:rPr>
          <w:sz w:val="28"/>
          <w:szCs w:val="28"/>
          <w:highlight w:val="none"/>
        </w:rPr>
      </w:pPr>
      <w:r>
        <w:rPr>
          <w:rFonts w:hint="eastAsia"/>
          <w:sz w:val="28"/>
          <w:szCs w:val="28"/>
          <w:highlight w:val="none"/>
        </w:rPr>
        <w:t>③法定代表人（负责人）授权书（须注明项目名称、项目编号）。</w:t>
      </w:r>
    </w:p>
    <w:p w14:paraId="0053882F">
      <w:pPr>
        <w:spacing w:line="640" w:lineRule="exact"/>
        <w:jc w:val="center"/>
        <w:rPr>
          <w:rFonts w:ascii="小标宋" w:hAnsi="小标宋" w:eastAsia="小标宋" w:cs="小标宋"/>
          <w:sz w:val="44"/>
          <w:szCs w:val="44"/>
          <w:highlight w:val="none"/>
        </w:rPr>
      </w:pPr>
    </w:p>
    <w:p w14:paraId="66069E3E">
      <w:pPr>
        <w:spacing w:line="640" w:lineRule="exact"/>
        <w:jc w:val="center"/>
        <w:rPr>
          <w:rFonts w:ascii="小标宋" w:hAnsi="小标宋" w:eastAsia="小标宋" w:cs="小标宋"/>
          <w:sz w:val="44"/>
          <w:szCs w:val="44"/>
          <w:highlight w:val="none"/>
        </w:rPr>
      </w:pPr>
      <w:r>
        <w:rPr>
          <w:rFonts w:hint="eastAsia" w:ascii="小标宋" w:hAnsi="小标宋" w:eastAsia="小标宋" w:cs="小标宋"/>
          <w:sz w:val="44"/>
          <w:szCs w:val="44"/>
          <w:highlight w:val="none"/>
        </w:rPr>
        <w:t>授权委托书</w:t>
      </w:r>
    </w:p>
    <w:p w14:paraId="71CBB639">
      <w:pPr>
        <w:spacing w:line="586" w:lineRule="exact"/>
        <w:ind w:firstLine="640" w:firstLineChars="200"/>
        <w:rPr>
          <w:rFonts w:ascii="仿宋_GB2312" w:hAnsi="仿宋_GB2312" w:eastAsia="仿宋_GB2312" w:cs="仿宋_GB2312"/>
          <w:kern w:val="0"/>
          <w:sz w:val="32"/>
          <w:szCs w:val="32"/>
          <w:highlight w:val="none"/>
        </w:rPr>
      </w:pPr>
    </w:p>
    <w:p w14:paraId="1A5CE923">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本人</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（姓名）系</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w:t>
      </w:r>
      <w:r>
        <w:rPr>
          <w:rFonts w:hint="eastAsia" w:ascii="仿宋_GB2312" w:hAnsi="仿宋_GB2312" w:eastAsia="仿宋_GB2312" w:cs="仿宋_GB2312"/>
          <w:spacing w:val="-1"/>
          <w:kern w:val="0"/>
          <w:sz w:val="32"/>
          <w:szCs w:val="32"/>
          <w:highlight w:val="none"/>
        </w:rPr>
        <w:t>供应商</w:t>
      </w:r>
      <w:r>
        <w:rPr>
          <w:rFonts w:hint="eastAsia" w:ascii="仿宋_GB2312" w:hAnsi="仿宋_GB2312" w:eastAsia="仿宋_GB2312" w:cs="仿宋_GB2312"/>
          <w:kern w:val="0"/>
          <w:sz w:val="32"/>
          <w:szCs w:val="32"/>
          <w:highlight w:val="none"/>
        </w:rPr>
        <w:t>名称</w:t>
      </w:r>
      <w:r>
        <w:rPr>
          <w:rFonts w:hint="eastAsia" w:ascii="仿宋_GB2312" w:hAnsi="仿宋_GB2312" w:eastAsia="仿宋_GB2312" w:cs="仿宋_GB2312"/>
          <w:spacing w:val="1"/>
          <w:kern w:val="0"/>
          <w:sz w:val="32"/>
          <w:szCs w:val="32"/>
          <w:highlight w:val="none"/>
        </w:rPr>
        <w:t>）</w:t>
      </w:r>
      <w:r>
        <w:rPr>
          <w:rFonts w:hint="eastAsia" w:ascii="仿宋_GB2312" w:hAnsi="仿宋_GB2312" w:eastAsia="仿宋_GB2312" w:cs="仿宋_GB2312"/>
          <w:kern w:val="0"/>
          <w:sz w:val="32"/>
          <w:szCs w:val="32"/>
          <w:highlight w:val="none"/>
        </w:rPr>
        <w:t>的法定代</w:t>
      </w:r>
      <w:r>
        <w:rPr>
          <w:rFonts w:hint="eastAsia" w:ascii="仿宋_GB2312" w:hAnsi="仿宋_GB2312" w:eastAsia="仿宋_GB2312" w:cs="仿宋_GB2312"/>
          <w:spacing w:val="1"/>
          <w:kern w:val="0"/>
          <w:sz w:val="32"/>
          <w:szCs w:val="32"/>
          <w:highlight w:val="none"/>
        </w:rPr>
        <w:t>表</w:t>
      </w:r>
      <w:r>
        <w:rPr>
          <w:rFonts w:hint="eastAsia" w:ascii="仿宋_GB2312" w:hAnsi="仿宋_GB2312" w:eastAsia="仿宋_GB2312" w:cs="仿宋_GB2312"/>
          <w:kern w:val="0"/>
          <w:sz w:val="32"/>
          <w:szCs w:val="32"/>
          <w:highlight w:val="none"/>
        </w:rPr>
        <w:t>人，现委托</w:t>
      </w:r>
      <w:r>
        <w:rPr>
          <w:rFonts w:hint="eastAsia" w:ascii="仿宋_GB2312" w:hAnsi="仿宋_GB2312" w:eastAsia="仿宋_GB2312" w:cs="仿宋_GB2312"/>
          <w:w w:val="200"/>
          <w:kern w:val="0"/>
          <w:sz w:val="32"/>
          <w:szCs w:val="32"/>
          <w:highlight w:val="none"/>
          <w:u w:val="single"/>
        </w:rPr>
        <w:t xml:space="preserve">  </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rPr>
        <w:t>（姓 名）为我方代理人以本单位名义参加</w:t>
      </w:r>
      <w:r>
        <w:rPr>
          <w:rFonts w:hint="eastAsia" w:ascii="仿宋_GB2312" w:hAnsi="仿宋_GB2312" w:eastAsia="仿宋_GB2312" w:cs="仿宋_GB2312"/>
          <w:kern w:val="0"/>
          <w:sz w:val="32"/>
          <w:szCs w:val="32"/>
          <w:highlight w:val="none"/>
          <w:u w:val="single"/>
        </w:rPr>
        <w:tab/>
      </w:r>
      <w:r>
        <w:rPr>
          <w:rFonts w:hint="eastAsia" w:ascii="仿宋_GB2312" w:hAnsi="仿宋_GB2312" w:eastAsia="仿宋_GB2312" w:cs="仿宋_GB2312"/>
          <w:kern w:val="0"/>
          <w:sz w:val="32"/>
          <w:szCs w:val="32"/>
          <w:highlight w:val="none"/>
          <w:u w:val="single"/>
        </w:rPr>
        <w:t>（项</w:t>
      </w:r>
      <w:r>
        <w:rPr>
          <w:rFonts w:hint="eastAsia" w:ascii="仿宋_GB2312" w:hAnsi="仿宋_GB2312" w:eastAsia="仿宋_GB2312" w:cs="仿宋_GB2312"/>
          <w:spacing w:val="-1"/>
          <w:kern w:val="0"/>
          <w:sz w:val="32"/>
          <w:szCs w:val="32"/>
          <w:highlight w:val="none"/>
          <w:u w:val="single"/>
        </w:rPr>
        <w:t>目</w:t>
      </w:r>
      <w:r>
        <w:rPr>
          <w:rFonts w:hint="eastAsia" w:ascii="仿宋_GB2312" w:hAnsi="仿宋_GB2312" w:eastAsia="仿宋_GB2312" w:cs="仿宋_GB2312"/>
          <w:kern w:val="0"/>
          <w:sz w:val="32"/>
          <w:szCs w:val="32"/>
          <w:highlight w:val="none"/>
          <w:u w:val="single"/>
        </w:rPr>
        <w:t xml:space="preserve">名称、项目编号）  </w:t>
      </w:r>
      <w:r>
        <w:rPr>
          <w:rFonts w:hint="eastAsia" w:ascii="仿宋_GB2312" w:hAnsi="仿宋_GB2312" w:eastAsia="仿宋_GB2312" w:cs="仿宋_GB2312"/>
          <w:kern w:val="0"/>
          <w:sz w:val="32"/>
          <w:szCs w:val="32"/>
          <w:highlight w:val="none"/>
        </w:rPr>
        <w:t>的报名活动。代理人在过程中所签署的一切文件和处理与之有关的一切事务，我均予以确认。</w:t>
      </w:r>
    </w:p>
    <w:p w14:paraId="1C2C75D0">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 xml:space="preserve">代理人无转委托权。 </w:t>
      </w:r>
    </w:p>
    <w:p w14:paraId="0DEE93F3">
      <w:pPr>
        <w:spacing w:line="586" w:lineRule="exact"/>
        <w:ind w:firstLine="640" w:firstLineChars="200"/>
        <w:rPr>
          <w:rFonts w:ascii="仿宋_GB2312" w:hAnsi="仿宋_GB2312" w:eastAsia="仿宋_GB2312" w:cs="仿宋_GB2312"/>
          <w:kern w:val="0"/>
          <w:sz w:val="32"/>
          <w:szCs w:val="32"/>
          <w:highlight w:val="none"/>
        </w:rPr>
      </w:pPr>
    </w:p>
    <w:p w14:paraId="6D5F93B8">
      <w:pPr>
        <w:spacing w:line="586" w:lineRule="exact"/>
        <w:ind w:firstLine="640" w:firstLineChars="200"/>
        <w:rPr>
          <w:rFonts w:ascii="仿宋_GB2312" w:hAnsi="仿宋_GB2312" w:eastAsia="仿宋_GB2312" w:cs="仿宋_GB2312"/>
          <w:kern w:val="0"/>
          <w:sz w:val="32"/>
          <w:szCs w:val="32"/>
          <w:highlight w:val="none"/>
        </w:rPr>
      </w:pPr>
    </w:p>
    <w:p w14:paraId="43124556">
      <w:pPr>
        <w:spacing w:line="586" w:lineRule="exact"/>
        <w:ind w:firstLine="3520" w:firstLineChars="11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供应商（</w:t>
      </w:r>
      <w:r>
        <w:rPr>
          <w:rFonts w:hint="eastAsia" w:ascii="仿宋_GB2312" w:hAnsi="仿宋_GB2312" w:eastAsia="仿宋_GB2312" w:cs="仿宋_GB2312"/>
          <w:spacing w:val="-1"/>
          <w:kern w:val="0"/>
          <w:sz w:val="32"/>
          <w:szCs w:val="32"/>
          <w:highlight w:val="none"/>
        </w:rPr>
        <w:t>盖</w:t>
      </w:r>
      <w:r>
        <w:rPr>
          <w:rFonts w:hint="eastAsia" w:ascii="仿宋_GB2312" w:hAnsi="仿宋_GB2312" w:eastAsia="仿宋_GB2312" w:cs="仿宋_GB2312"/>
          <w:kern w:val="0"/>
          <w:sz w:val="32"/>
          <w:szCs w:val="32"/>
          <w:highlight w:val="none"/>
        </w:rPr>
        <w:t xml:space="preserve">单位章）： </w:t>
      </w:r>
    </w:p>
    <w:p w14:paraId="1297BBCD">
      <w:pPr>
        <w:spacing w:line="586" w:lineRule="exact"/>
        <w:ind w:firstLine="640" w:firstLineChars="200"/>
        <w:rPr>
          <w:rFonts w:ascii="仿宋_GB2312" w:hAnsi="仿宋_GB2312" w:eastAsia="仿宋_GB2312" w:cs="仿宋_GB2312"/>
          <w:kern w:val="0"/>
          <w:sz w:val="32"/>
          <w:szCs w:val="32"/>
          <w:highlight w:val="none"/>
        </w:rPr>
      </w:pPr>
      <w:r>
        <w:rPr>
          <w:rFonts w:hint="eastAsia" w:ascii="仿宋_GB2312" w:hAnsi="仿宋_GB2312" w:eastAsia="仿宋_GB2312" w:cs="仿宋_GB2312"/>
          <w:kern w:val="0"/>
          <w:sz w:val="32"/>
          <w:szCs w:val="32"/>
          <w:highlight w:val="none"/>
        </w:rPr>
        <w:t>法定代表人或授权委托人（签字或盖章）：</w:t>
      </w:r>
    </w:p>
    <w:p w14:paraId="794AF886">
      <w:pPr>
        <w:spacing w:line="586" w:lineRule="exact"/>
        <w:ind w:firstLine="640" w:firstLineChars="200"/>
        <w:jc w:val="right"/>
        <w:rPr>
          <w:rFonts w:ascii="仿宋_GB2312" w:hAnsi="仿宋_GB2312" w:eastAsia="仿宋_GB2312" w:cs="仿宋_GB2312"/>
          <w:sz w:val="32"/>
          <w:szCs w:val="32"/>
          <w:highlight w:val="none"/>
        </w:rPr>
      </w:pPr>
      <w:r>
        <w:rPr>
          <w:rFonts w:hint="eastAsia" w:ascii="仿宋_GB2312" w:hAnsi="仿宋_GB2312" w:eastAsia="仿宋_GB2312" w:cs="仿宋_GB2312"/>
          <w:kern w:val="0"/>
          <w:sz w:val="32"/>
          <w:szCs w:val="32"/>
          <w:highlight w:val="none"/>
        </w:rPr>
        <w:t>年</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月</w:t>
      </w:r>
      <w:r>
        <w:rPr>
          <w:rFonts w:hint="eastAsia" w:ascii="仿宋_GB2312" w:hAnsi="仿宋_GB2312" w:eastAsia="仿宋_GB2312" w:cs="仿宋_GB2312"/>
          <w:w w:val="200"/>
          <w:kern w:val="0"/>
          <w:sz w:val="32"/>
          <w:szCs w:val="32"/>
          <w:highlight w:val="none"/>
        </w:rPr>
        <w:t xml:space="preserve">  </w:t>
      </w:r>
      <w:r>
        <w:rPr>
          <w:rFonts w:hint="eastAsia" w:ascii="仿宋_GB2312" w:hAnsi="仿宋_GB2312" w:eastAsia="仿宋_GB2312" w:cs="仿宋_GB2312"/>
          <w:kern w:val="0"/>
          <w:sz w:val="32"/>
          <w:szCs w:val="32"/>
          <w:highlight w:val="none"/>
        </w:rPr>
        <w:t>日</w:t>
      </w:r>
    </w:p>
    <w:p w14:paraId="1148C78E">
      <w:pPr>
        <w:rPr>
          <w:sz w:val="28"/>
          <w:szCs w:val="28"/>
          <w:highlight w:val="none"/>
        </w:rPr>
      </w:pPr>
    </w:p>
    <w:p w14:paraId="5A793F13">
      <w:pPr>
        <w:rPr>
          <w:rFonts w:hint="default" w:eastAsia="宋体"/>
          <w:sz w:val="28"/>
          <w:szCs w:val="28"/>
          <w:highlight w:val="none"/>
          <w:lang w:val="en-US" w:eastAsia="zh-CN"/>
        </w:rPr>
        <w:sectPr>
          <w:headerReference r:id="rId4" w:type="default"/>
          <w:footerReference r:id="rId5"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r>
        <w:rPr>
          <w:rFonts w:hint="eastAsia"/>
          <w:sz w:val="28"/>
          <w:szCs w:val="28"/>
          <w:highlight w:val="none"/>
          <w:lang w:val="en-US" w:eastAsia="zh-CN"/>
        </w:rPr>
        <w:t>联系方式：</w:t>
      </w:r>
    </w:p>
    <w:p w14:paraId="3FDC3573">
      <w:pPr>
        <w:pStyle w:val="39"/>
        <w:rPr>
          <w:rFonts w:ascii="Times New Roman" w:hAnsi="Times New Roman"/>
          <w:highlight w:val="none"/>
        </w:rPr>
      </w:pPr>
      <w:bookmarkStart w:id="95" w:name="_Toc27196"/>
      <w:bookmarkStart w:id="96" w:name="_Toc5135"/>
      <w:bookmarkStart w:id="97" w:name="_Toc2408"/>
      <w:r>
        <w:rPr>
          <w:rFonts w:ascii="Times New Roman" w:hAnsi="Times New Roman"/>
          <w:highlight w:val="none"/>
        </w:rPr>
        <w:t xml:space="preserve">第二章  </w:t>
      </w:r>
      <w:r>
        <w:rPr>
          <w:rFonts w:hint="eastAsia" w:ascii="Times New Roman" w:hAnsi="Times New Roman"/>
          <w:highlight w:val="none"/>
          <w:lang w:eastAsia="zh-CN"/>
        </w:rPr>
        <w:t>供应商</w:t>
      </w:r>
      <w:r>
        <w:rPr>
          <w:rFonts w:ascii="Times New Roman" w:hAnsi="Times New Roman"/>
          <w:highlight w:val="none"/>
        </w:rPr>
        <w:t>须知</w:t>
      </w:r>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60319D71">
      <w:pPr>
        <w:tabs>
          <w:tab w:val="left" w:pos="1305"/>
        </w:tabs>
        <w:spacing w:line="400" w:lineRule="exact"/>
        <w:rPr>
          <w:b/>
          <w:bCs/>
          <w:sz w:val="28"/>
          <w:szCs w:val="28"/>
          <w:highlight w:val="none"/>
        </w:rPr>
      </w:pPr>
    </w:p>
    <w:tbl>
      <w:tblPr>
        <w:tblStyle w:val="42"/>
        <w:tblW w:w="9649" w:type="dxa"/>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1"/>
        <w:gridCol w:w="1765"/>
        <w:gridCol w:w="6863"/>
      </w:tblGrid>
      <w:tr w14:paraId="34E04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0" w:hRule="atLeast"/>
        </w:trPr>
        <w:tc>
          <w:tcPr>
            <w:tcW w:w="1021" w:type="dxa"/>
            <w:vAlign w:val="center"/>
          </w:tcPr>
          <w:p w14:paraId="5F79340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序号</w:t>
            </w:r>
          </w:p>
        </w:tc>
        <w:tc>
          <w:tcPr>
            <w:tcW w:w="1765" w:type="dxa"/>
            <w:vAlign w:val="center"/>
          </w:tcPr>
          <w:p w14:paraId="3457739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条款名称</w:t>
            </w:r>
          </w:p>
        </w:tc>
        <w:tc>
          <w:tcPr>
            <w:tcW w:w="6863" w:type="dxa"/>
            <w:vAlign w:val="center"/>
          </w:tcPr>
          <w:p w14:paraId="3F220B7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内容、要求</w:t>
            </w:r>
          </w:p>
        </w:tc>
      </w:tr>
      <w:tr w14:paraId="3AA2F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14C210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p>
        </w:tc>
        <w:tc>
          <w:tcPr>
            <w:tcW w:w="1765" w:type="dxa"/>
            <w:vAlign w:val="center"/>
          </w:tcPr>
          <w:p w14:paraId="1E614C8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p>
        </w:tc>
        <w:tc>
          <w:tcPr>
            <w:tcW w:w="6863" w:type="dxa"/>
            <w:vAlign w:val="center"/>
          </w:tcPr>
          <w:p w14:paraId="29E7CA9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bCs/>
                <w:sz w:val="21"/>
                <w:szCs w:val="21"/>
                <w:highlight w:val="none"/>
              </w:rPr>
            </w:pPr>
            <w:r>
              <w:rPr>
                <w:rFonts w:hint="eastAsia" w:ascii="宋体" w:hAnsi="宋体" w:eastAsia="宋体" w:cs="宋体"/>
                <w:b/>
                <w:bCs/>
                <w:sz w:val="21"/>
                <w:szCs w:val="21"/>
                <w:highlight w:val="none"/>
              </w:rPr>
              <w:t>桂林银行采购洗钱风险自评估咨询项目</w:t>
            </w:r>
          </w:p>
        </w:tc>
      </w:tr>
      <w:tr w14:paraId="5F552A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trPr>
        <w:tc>
          <w:tcPr>
            <w:tcW w:w="1021" w:type="dxa"/>
            <w:vAlign w:val="center"/>
          </w:tcPr>
          <w:p w14:paraId="1CBD3B4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p>
        </w:tc>
        <w:tc>
          <w:tcPr>
            <w:tcW w:w="1765" w:type="dxa"/>
            <w:vAlign w:val="center"/>
          </w:tcPr>
          <w:p w14:paraId="27896D8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项目编号</w:t>
            </w:r>
          </w:p>
        </w:tc>
        <w:tc>
          <w:tcPr>
            <w:tcW w:w="6863" w:type="dxa"/>
            <w:vAlign w:val="center"/>
          </w:tcPr>
          <w:p w14:paraId="19E6E931">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sz w:val="21"/>
                <w:szCs w:val="21"/>
                <w:highlight w:val="none"/>
                <w:lang w:val="en-US" w:eastAsia="zh-CN"/>
              </w:rPr>
            </w:pPr>
            <w:r>
              <w:rPr>
                <w:rFonts w:hint="eastAsia" w:ascii="宋体" w:hAnsi="宋体" w:eastAsia="宋体" w:cs="宋体"/>
                <w:b/>
                <w:bCs/>
                <w:sz w:val="21"/>
                <w:szCs w:val="21"/>
                <w:highlight w:val="none"/>
              </w:rPr>
              <w:t>GYJC202</w:t>
            </w:r>
            <w:r>
              <w:rPr>
                <w:rFonts w:hint="eastAsia" w:ascii="宋体" w:hAnsi="宋体" w:cs="宋体"/>
                <w:b/>
                <w:bCs/>
                <w:sz w:val="21"/>
                <w:szCs w:val="21"/>
                <w:highlight w:val="none"/>
                <w:lang w:val="en-US" w:eastAsia="zh-CN"/>
              </w:rPr>
              <w:t>5155</w:t>
            </w:r>
          </w:p>
        </w:tc>
      </w:tr>
      <w:tr w14:paraId="4B1CA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F76854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w:t>
            </w:r>
          </w:p>
        </w:tc>
        <w:tc>
          <w:tcPr>
            <w:tcW w:w="1765" w:type="dxa"/>
            <w:vAlign w:val="center"/>
          </w:tcPr>
          <w:p w14:paraId="028C9F3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资格</w:t>
            </w:r>
          </w:p>
        </w:tc>
        <w:tc>
          <w:tcPr>
            <w:tcW w:w="6863" w:type="dxa"/>
            <w:vAlign w:val="center"/>
          </w:tcPr>
          <w:p w14:paraId="2DFF073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详见第一章竞争性磋商公告</w:t>
            </w:r>
          </w:p>
        </w:tc>
      </w:tr>
      <w:tr w14:paraId="44541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30DA9EF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w:t>
            </w:r>
          </w:p>
        </w:tc>
        <w:tc>
          <w:tcPr>
            <w:tcW w:w="1765" w:type="dxa"/>
            <w:vAlign w:val="center"/>
          </w:tcPr>
          <w:p w14:paraId="34C952B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磋商文件澄清、修改</w:t>
            </w:r>
          </w:p>
        </w:tc>
        <w:tc>
          <w:tcPr>
            <w:tcW w:w="6863" w:type="dxa"/>
          </w:tcPr>
          <w:p w14:paraId="51817E91">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在磋商公告发布媒介上发布。</w:t>
            </w:r>
          </w:p>
          <w:p w14:paraId="6DCBB2D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磋商文件澄清、答复、修改、补充的内容为磋商文件的组成部分。当磋商文件与磋商文件的答复、澄清、修改、补充通知就同一内容的表述不一致时，以最后发出的文件为准。</w:t>
            </w:r>
          </w:p>
        </w:tc>
      </w:tr>
      <w:tr w14:paraId="50797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21" w:type="dxa"/>
            <w:vAlign w:val="center"/>
          </w:tcPr>
          <w:p w14:paraId="2944E23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p>
        </w:tc>
        <w:tc>
          <w:tcPr>
            <w:tcW w:w="1765" w:type="dxa"/>
            <w:vAlign w:val="center"/>
          </w:tcPr>
          <w:p w14:paraId="60431A0C">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确认收到澄清、修改发布的方式</w:t>
            </w:r>
          </w:p>
        </w:tc>
        <w:tc>
          <w:tcPr>
            <w:tcW w:w="6863" w:type="dxa"/>
          </w:tcPr>
          <w:p w14:paraId="7613A2A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澄清、修改文件在磋商公告发布媒介发布之日起，视为</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已收到该澄清、修改。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未及时关注磋商公告发布媒介造成的损失，由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自行负责。</w:t>
            </w:r>
          </w:p>
        </w:tc>
      </w:tr>
      <w:tr w14:paraId="53433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15C224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p>
        </w:tc>
        <w:tc>
          <w:tcPr>
            <w:tcW w:w="1765" w:type="dxa"/>
            <w:vAlign w:val="center"/>
          </w:tcPr>
          <w:p w14:paraId="4B4AE3A4">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现场踏勘</w:t>
            </w:r>
          </w:p>
        </w:tc>
        <w:tc>
          <w:tcPr>
            <w:tcW w:w="6863" w:type="dxa"/>
          </w:tcPr>
          <w:p w14:paraId="39CFEBD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不组织。</w:t>
            </w:r>
          </w:p>
        </w:tc>
      </w:tr>
      <w:tr w14:paraId="42A38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8F3FB6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w:t>
            </w:r>
          </w:p>
        </w:tc>
        <w:tc>
          <w:tcPr>
            <w:tcW w:w="1765" w:type="dxa"/>
            <w:vAlign w:val="center"/>
          </w:tcPr>
          <w:p w14:paraId="549941D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转包/分包</w:t>
            </w:r>
          </w:p>
        </w:tc>
        <w:tc>
          <w:tcPr>
            <w:tcW w:w="6863" w:type="dxa"/>
          </w:tcPr>
          <w:p w14:paraId="76CA197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不允许。</w:t>
            </w:r>
          </w:p>
        </w:tc>
      </w:tr>
      <w:tr w14:paraId="6C5D8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4" w:hRule="atLeast"/>
        </w:trPr>
        <w:tc>
          <w:tcPr>
            <w:tcW w:w="1021" w:type="dxa"/>
            <w:vAlign w:val="center"/>
          </w:tcPr>
          <w:p w14:paraId="2EBA3D4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w:t>
            </w:r>
          </w:p>
        </w:tc>
        <w:tc>
          <w:tcPr>
            <w:tcW w:w="1765" w:type="dxa"/>
            <w:vAlign w:val="center"/>
          </w:tcPr>
          <w:p w14:paraId="6FE8DF29">
            <w:pPr>
              <w:pStyle w:val="2"/>
              <w:keepNext w:val="0"/>
              <w:keepLines w:val="0"/>
              <w:pageBreakBefore w:val="0"/>
              <w:kinsoku/>
              <w:wordWrap/>
              <w:overflowPunct/>
              <w:topLinePunct w:val="0"/>
              <w:autoSpaceDE/>
              <w:autoSpaceDN/>
              <w:bidi w:val="0"/>
              <w:adjustRightInd/>
              <w:spacing w:after="0"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实质性要求和条件</w:t>
            </w:r>
          </w:p>
        </w:tc>
        <w:tc>
          <w:tcPr>
            <w:tcW w:w="6863" w:type="dxa"/>
            <w:vAlign w:val="center"/>
          </w:tcPr>
          <w:p w14:paraId="28445A90">
            <w:pPr>
              <w:pStyle w:val="19"/>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磋商文件中所有标注★号的条款、要求“必须提供”的条款以及标明不满足即响应无效的条款</w:t>
            </w:r>
          </w:p>
        </w:tc>
      </w:tr>
      <w:tr w14:paraId="662A77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4D13F82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w:t>
            </w:r>
          </w:p>
        </w:tc>
        <w:tc>
          <w:tcPr>
            <w:tcW w:w="1765" w:type="dxa"/>
            <w:vAlign w:val="center"/>
          </w:tcPr>
          <w:p w14:paraId="6B261FB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报价及费用</w:t>
            </w:r>
          </w:p>
        </w:tc>
        <w:tc>
          <w:tcPr>
            <w:tcW w:w="6863" w:type="dxa"/>
          </w:tcPr>
          <w:p w14:paraId="4B4859F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（1）本次报价须为人民币报价，报价应被视为已经包含了但不限于本项目购买相关货物或服务等的费用和所需缴纳的税费等一切费用。</w:t>
            </w:r>
          </w:p>
          <w:p w14:paraId="1709ECFF">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（2）不论磋商结果如何，</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均应自行承担所有与磋商有关的全部费用。</w:t>
            </w:r>
          </w:p>
          <w:p w14:paraId="6A5DD26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（3）预算金额：</w:t>
            </w:r>
            <w:r>
              <w:rPr>
                <w:rFonts w:hint="eastAsia" w:ascii="宋体" w:hAnsi="宋体" w:cs="宋体"/>
                <w:b/>
                <w:bCs/>
                <w:sz w:val="21"/>
                <w:szCs w:val="21"/>
                <w:highlight w:val="none"/>
                <w:lang w:val="en-US" w:eastAsia="zh-CN"/>
              </w:rPr>
              <w:t>45</w:t>
            </w:r>
            <w:r>
              <w:rPr>
                <w:rFonts w:hint="eastAsia" w:ascii="宋体" w:hAnsi="宋体" w:eastAsia="宋体" w:cs="宋体"/>
                <w:b/>
                <w:bCs/>
                <w:sz w:val="21"/>
                <w:szCs w:val="21"/>
                <w:highlight w:val="none"/>
              </w:rPr>
              <w:t>万元</w:t>
            </w:r>
            <w:r>
              <w:rPr>
                <w:rFonts w:hint="eastAsia" w:ascii="宋体" w:hAnsi="宋体" w:eastAsia="宋体" w:cs="宋体"/>
                <w:sz w:val="21"/>
                <w:szCs w:val="21"/>
                <w:highlight w:val="none"/>
              </w:rPr>
              <w:t>。</w:t>
            </w:r>
          </w:p>
          <w:p w14:paraId="5DB049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（4）资金来源：企业自筹。</w:t>
            </w:r>
          </w:p>
        </w:tc>
      </w:tr>
      <w:tr w14:paraId="6345D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5" w:hRule="atLeast"/>
        </w:trPr>
        <w:tc>
          <w:tcPr>
            <w:tcW w:w="1021" w:type="dxa"/>
            <w:vAlign w:val="center"/>
          </w:tcPr>
          <w:p w14:paraId="133AD7C2">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w:t>
            </w:r>
          </w:p>
        </w:tc>
        <w:tc>
          <w:tcPr>
            <w:tcW w:w="1765" w:type="dxa"/>
            <w:vAlign w:val="center"/>
          </w:tcPr>
          <w:p w14:paraId="539F60C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保证金</w:t>
            </w:r>
          </w:p>
        </w:tc>
        <w:tc>
          <w:tcPr>
            <w:tcW w:w="6863" w:type="dxa"/>
          </w:tcPr>
          <w:p w14:paraId="024ED8B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保证金的形式：转帐或电汇形式；</w:t>
            </w:r>
          </w:p>
          <w:p w14:paraId="58FB4008">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磋商保证金的金额：</w:t>
            </w:r>
            <w:r>
              <w:rPr>
                <w:rFonts w:hint="eastAsia" w:ascii="宋体" w:hAnsi="宋体" w:cs="宋体"/>
                <w:b/>
                <w:bCs/>
                <w:sz w:val="21"/>
                <w:szCs w:val="21"/>
                <w:highlight w:val="none"/>
                <w:lang w:val="en-US" w:eastAsia="zh-CN"/>
              </w:rPr>
              <w:t>0.9</w:t>
            </w:r>
            <w:r>
              <w:rPr>
                <w:rFonts w:hint="eastAsia" w:ascii="宋体" w:hAnsi="宋体" w:eastAsia="宋体" w:cs="宋体"/>
                <w:b/>
                <w:bCs/>
                <w:sz w:val="21"/>
                <w:szCs w:val="21"/>
                <w:highlight w:val="none"/>
              </w:rPr>
              <w:t xml:space="preserve">万元 </w:t>
            </w:r>
            <w:r>
              <w:rPr>
                <w:rFonts w:hint="eastAsia" w:ascii="宋体" w:hAnsi="宋体" w:eastAsia="宋体" w:cs="宋体"/>
                <w:sz w:val="21"/>
                <w:szCs w:val="21"/>
                <w:highlight w:val="none"/>
              </w:rPr>
              <w:t>。</w:t>
            </w:r>
          </w:p>
          <w:p w14:paraId="791306A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应于</w:t>
            </w:r>
            <w:r>
              <w:rPr>
                <w:rFonts w:hint="eastAsia" w:ascii="宋体" w:hAnsi="宋体" w:eastAsia="宋体" w:cs="宋体"/>
                <w:b/>
                <w:bCs/>
                <w:sz w:val="21"/>
                <w:szCs w:val="21"/>
                <w:highlight w:val="none"/>
              </w:rPr>
              <w:t>202</w:t>
            </w:r>
            <w:r>
              <w:rPr>
                <w:rFonts w:hint="eastAsia" w:ascii="宋体" w:hAnsi="宋体" w:cs="宋体"/>
                <w:b/>
                <w:bCs/>
                <w:sz w:val="21"/>
                <w:szCs w:val="21"/>
                <w:highlight w:val="none"/>
                <w:lang w:val="en-US" w:eastAsia="zh-CN"/>
              </w:rPr>
              <w:t>5</w:t>
            </w:r>
            <w:r>
              <w:rPr>
                <w:rFonts w:hint="eastAsia" w:ascii="宋体" w:hAnsi="宋体" w:eastAsia="宋体" w:cs="宋体"/>
                <w:b/>
                <w:bCs/>
                <w:sz w:val="21"/>
                <w:szCs w:val="21"/>
                <w:highlight w:val="none"/>
              </w:rPr>
              <w:t>年</w:t>
            </w:r>
            <w:r>
              <w:rPr>
                <w:rFonts w:hint="eastAsia" w:ascii="宋体" w:hAnsi="宋体" w:cs="宋体"/>
                <w:b/>
                <w:bCs/>
                <w:sz w:val="21"/>
                <w:szCs w:val="21"/>
                <w:highlight w:val="none"/>
                <w:lang w:val="en-US" w:eastAsia="zh-CN"/>
              </w:rPr>
              <w:t>12</w:t>
            </w:r>
            <w:r>
              <w:rPr>
                <w:rFonts w:hint="eastAsia" w:ascii="宋体" w:hAnsi="宋体" w:eastAsia="宋体" w:cs="宋体"/>
                <w:b/>
                <w:bCs/>
                <w:sz w:val="21"/>
                <w:szCs w:val="21"/>
                <w:highlight w:val="none"/>
              </w:rPr>
              <w:t>月</w:t>
            </w:r>
            <w:r>
              <w:rPr>
                <w:rFonts w:hint="eastAsia" w:ascii="宋体" w:hAnsi="宋体" w:cs="宋体"/>
                <w:b/>
                <w:bCs/>
                <w:sz w:val="21"/>
                <w:szCs w:val="21"/>
                <w:highlight w:val="none"/>
                <w:lang w:val="en-US" w:eastAsia="zh-CN"/>
              </w:rPr>
              <w:t>29</w:t>
            </w:r>
            <w:r>
              <w:rPr>
                <w:rFonts w:hint="eastAsia" w:ascii="宋体" w:hAnsi="宋体" w:eastAsia="宋体" w:cs="宋体"/>
                <w:b/>
                <w:bCs/>
                <w:sz w:val="21"/>
                <w:szCs w:val="21"/>
                <w:highlight w:val="none"/>
              </w:rPr>
              <w:t>日</w:t>
            </w:r>
            <w:r>
              <w:rPr>
                <w:rFonts w:hint="eastAsia" w:ascii="宋体" w:hAnsi="宋体" w:cs="宋体"/>
                <w:b/>
                <w:bCs/>
                <w:sz w:val="21"/>
                <w:szCs w:val="21"/>
                <w:highlight w:val="none"/>
                <w:lang w:val="en-US" w:eastAsia="zh-CN"/>
              </w:rPr>
              <w:t>15</w:t>
            </w:r>
            <w:r>
              <w:rPr>
                <w:rFonts w:hint="eastAsia" w:ascii="宋体" w:hAnsi="宋体" w:eastAsia="宋体" w:cs="宋体"/>
                <w:b/>
                <w:bCs/>
                <w:sz w:val="21"/>
                <w:szCs w:val="21"/>
                <w:highlight w:val="none"/>
              </w:rPr>
              <w:t>时00分前</w:t>
            </w:r>
            <w:r>
              <w:rPr>
                <w:rFonts w:hint="eastAsia" w:ascii="宋体" w:hAnsi="宋体" w:eastAsia="宋体" w:cs="宋体"/>
                <w:sz w:val="21"/>
                <w:szCs w:val="21"/>
                <w:highlight w:val="none"/>
              </w:rPr>
              <w:t>将保证金以转账、电汇形式从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账户一次性足额缴纳至本项目对应的专用账号，</w:t>
            </w:r>
            <w:r>
              <w:rPr>
                <w:rFonts w:hint="eastAsia" w:ascii="宋体" w:hAnsi="宋体" w:eastAsia="宋体" w:cs="宋体"/>
                <w:b/>
                <w:bCs/>
                <w:sz w:val="21"/>
                <w:szCs w:val="21"/>
                <w:highlight w:val="none"/>
              </w:rPr>
              <w:t>转账时备注“202</w:t>
            </w:r>
            <w:r>
              <w:rPr>
                <w:rFonts w:hint="eastAsia" w:ascii="宋体" w:hAnsi="宋体" w:cs="宋体"/>
                <w:b/>
                <w:bCs/>
                <w:sz w:val="21"/>
                <w:szCs w:val="21"/>
                <w:highlight w:val="none"/>
                <w:lang w:val="en-US" w:eastAsia="zh-CN"/>
              </w:rPr>
              <w:t>5155</w:t>
            </w:r>
            <w:r>
              <w:rPr>
                <w:rFonts w:hint="eastAsia" w:ascii="宋体" w:hAnsi="宋体" w:eastAsia="宋体" w:cs="宋体"/>
                <w:b/>
                <w:bCs/>
                <w:sz w:val="21"/>
                <w:szCs w:val="21"/>
                <w:highlight w:val="none"/>
              </w:rPr>
              <w:t>项目”</w:t>
            </w:r>
            <w:r>
              <w:rPr>
                <w:rFonts w:hint="eastAsia" w:ascii="宋体" w:hAnsi="宋体" w:eastAsia="宋体" w:cs="宋体"/>
                <w:sz w:val="21"/>
                <w:szCs w:val="21"/>
                <w:highlight w:val="none"/>
              </w:rPr>
              <w:t>，所交纳的磋商保证金仅限当次项目有效，不得重复替代使用。本项目保证金交至以下账户：</w:t>
            </w:r>
          </w:p>
          <w:p w14:paraId="49611AB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开户名称：桂林银行股份有限公司</w:t>
            </w:r>
          </w:p>
          <w:p w14:paraId="39DE89C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开户银行：桂林银行股份有限公司营业部  </w:t>
            </w:r>
          </w:p>
          <w:p w14:paraId="1D16746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帐号：6040120111037303</w:t>
            </w:r>
          </w:p>
          <w:p w14:paraId="154E0B2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联行号：313617000219</w:t>
            </w:r>
          </w:p>
          <w:p w14:paraId="6DE5C8D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保证金币种应与磋商报价币种相同。保证金缴纳后无需开具收据，但必须在磋商截止时间之前到达指定账号，其到账时间以银行确认的到账时间为准。凡未在规定时间内足额交纳或以其它方式递交的保证金均视为无效，其响应文件一律作无效处理。</w:t>
            </w:r>
            <w:r>
              <w:rPr>
                <w:rFonts w:hint="eastAsia" w:ascii="宋体" w:hAnsi="宋体" w:eastAsia="宋体" w:cs="宋体"/>
                <w:b/>
                <w:sz w:val="21"/>
                <w:szCs w:val="21"/>
                <w:highlight w:val="none"/>
                <w:u w:val="single"/>
              </w:rPr>
              <w:t>本项目不接受现金形式或从个人账户转出的磋商保证金。</w:t>
            </w:r>
          </w:p>
          <w:p w14:paraId="051E344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（3）除磋商文件规定不予退还保证金的情形外，未</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的磋商保证金最迟在本项目书面合同签订后</w:t>
            </w:r>
            <w:r>
              <w:rPr>
                <w:rFonts w:hint="eastAsia" w:ascii="宋体" w:hAnsi="宋体" w:eastAsia="宋体" w:cs="宋体"/>
                <w:sz w:val="21"/>
                <w:szCs w:val="21"/>
                <w:highlight w:val="none"/>
                <w:lang w:val="en-US" w:eastAsia="zh-CN"/>
              </w:rPr>
              <w:t>五个工作</w:t>
            </w:r>
            <w:r>
              <w:rPr>
                <w:rFonts w:hint="eastAsia" w:ascii="宋体" w:hAnsi="宋体" w:eastAsia="宋体" w:cs="宋体"/>
                <w:sz w:val="21"/>
                <w:szCs w:val="21"/>
                <w:highlight w:val="none"/>
              </w:rPr>
              <w:t>日内退还，均以转账形式（无息）原路退还到</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银行账户。</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自行承担交纳保证金后未参加磋商活动或磋商保证金缴纳错误而导致磋商保证金无法及时退还的责任。</w:t>
            </w:r>
          </w:p>
          <w:p w14:paraId="213434F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（4）未按以上要求缴纳磋商保证金的响应文件，将作无效响应文件处理。</w:t>
            </w:r>
          </w:p>
        </w:tc>
      </w:tr>
      <w:tr w14:paraId="7B086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1F070DE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p>
        </w:tc>
        <w:tc>
          <w:tcPr>
            <w:tcW w:w="1765" w:type="dxa"/>
            <w:vAlign w:val="center"/>
          </w:tcPr>
          <w:p w14:paraId="49BE7A9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position w:val="10"/>
                <w:sz w:val="21"/>
                <w:szCs w:val="21"/>
                <w:highlight w:val="none"/>
              </w:rPr>
            </w:pPr>
            <w:r>
              <w:rPr>
                <w:rFonts w:hint="eastAsia" w:ascii="宋体" w:hAnsi="宋体" w:eastAsia="宋体" w:cs="宋体"/>
                <w:position w:val="10"/>
                <w:sz w:val="21"/>
                <w:szCs w:val="21"/>
                <w:highlight w:val="none"/>
              </w:rPr>
              <w:t>合同履约担保</w:t>
            </w:r>
          </w:p>
        </w:tc>
        <w:tc>
          <w:tcPr>
            <w:tcW w:w="6863" w:type="dxa"/>
            <w:vAlign w:val="center"/>
          </w:tcPr>
          <w:p w14:paraId="7178882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的磋商保证金在领取合作通知书后转为合同履约担保，履约保证金在合同期满且验收合格后退还（合同中另有约定的除外），</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提供退款申请（详见</w:t>
            </w:r>
            <w:r>
              <w:rPr>
                <w:rFonts w:hint="eastAsia" w:ascii="宋体" w:hAnsi="宋体" w:eastAsia="宋体" w:cs="宋体"/>
                <w:sz w:val="21"/>
                <w:szCs w:val="21"/>
                <w:highlight w:val="none"/>
                <w:lang w:val="en-US" w:eastAsia="zh-CN"/>
              </w:rPr>
              <w:t>格式材料9</w:t>
            </w:r>
            <w:r>
              <w:rPr>
                <w:rFonts w:hint="eastAsia" w:ascii="宋体" w:hAnsi="宋体" w:eastAsia="宋体" w:cs="宋体"/>
                <w:sz w:val="21"/>
                <w:szCs w:val="21"/>
                <w:highlight w:val="none"/>
              </w:rPr>
              <w:t>），申请包括项目名称、编号、退款金额、账户信息等内容，经采购人核实后无息退还。</w:t>
            </w:r>
          </w:p>
        </w:tc>
      </w:tr>
      <w:tr w14:paraId="6C11F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FAD358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w:t>
            </w:r>
          </w:p>
        </w:tc>
        <w:tc>
          <w:tcPr>
            <w:tcW w:w="1765" w:type="dxa"/>
            <w:vAlign w:val="center"/>
          </w:tcPr>
          <w:p w14:paraId="59A2EF3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position w:val="10"/>
                <w:sz w:val="21"/>
                <w:szCs w:val="21"/>
                <w:highlight w:val="none"/>
              </w:rPr>
            </w:pPr>
            <w:r>
              <w:rPr>
                <w:rFonts w:hint="eastAsia" w:ascii="宋体" w:hAnsi="宋体" w:eastAsia="宋体" w:cs="宋体"/>
                <w:sz w:val="21"/>
                <w:szCs w:val="21"/>
                <w:highlight w:val="none"/>
              </w:rPr>
              <w:t>不予退还磋商保证金的情形</w:t>
            </w:r>
          </w:p>
        </w:tc>
        <w:tc>
          <w:tcPr>
            <w:tcW w:w="6863" w:type="dxa"/>
            <w:vAlign w:val="center"/>
          </w:tcPr>
          <w:p w14:paraId="72C6CF7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有下列情形之一的，保证金将不予退还：</w:t>
            </w:r>
          </w:p>
          <w:p w14:paraId="0971638D">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在提交磋商文件截止时间后撤回响应文件的；</w:t>
            </w:r>
          </w:p>
          <w:p w14:paraId="158E43A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在响应文件中提供虚假材料的；</w:t>
            </w:r>
          </w:p>
          <w:p w14:paraId="194AF844">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（3）除因不可抗力或磋商文件认可的情形以外，成交供应商不与采购人签订合同的；</w:t>
            </w:r>
          </w:p>
          <w:p w14:paraId="21CBB076">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（4）将</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项目转让给他人或者在响应文件中未说明且未经采购人同意，将</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项目分包给他人的；</w:t>
            </w:r>
          </w:p>
          <w:p w14:paraId="6237EB8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（5）拒绝履行合同义务的；</w:t>
            </w:r>
          </w:p>
          <w:p w14:paraId="0C97B1F5">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（6）其他严重扰乱报价程序的；</w:t>
            </w:r>
          </w:p>
          <w:p w14:paraId="0E001D21">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（7）磋商文件规定的其他情形。</w:t>
            </w:r>
          </w:p>
        </w:tc>
      </w:tr>
      <w:tr w14:paraId="785A5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E6679E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w:t>
            </w:r>
          </w:p>
        </w:tc>
        <w:tc>
          <w:tcPr>
            <w:tcW w:w="1765" w:type="dxa"/>
            <w:vAlign w:val="center"/>
          </w:tcPr>
          <w:p w14:paraId="4B8A48F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响应文件份数</w:t>
            </w:r>
          </w:p>
        </w:tc>
        <w:tc>
          <w:tcPr>
            <w:tcW w:w="6863" w:type="dxa"/>
            <w:vAlign w:val="center"/>
          </w:tcPr>
          <w:p w14:paraId="1E659377">
            <w:pPr>
              <w:pStyle w:val="19"/>
              <w:spacing w:line="400" w:lineRule="exact"/>
              <w:rPr>
                <w:rFonts w:hint="eastAsia" w:ascii="宋体" w:hAnsi="宋体" w:eastAsia="宋体" w:cs="宋体"/>
                <w:sz w:val="21"/>
                <w:szCs w:val="21"/>
                <w:highlight w:val="none"/>
              </w:rPr>
            </w:pPr>
            <w:r>
              <w:rPr>
                <w:rFonts w:hint="eastAsia" w:ascii="宋体" w:hAnsi="宋体" w:eastAsia="宋体" w:cs="宋体"/>
                <w:sz w:val="21"/>
                <w:szCs w:val="21"/>
                <w:highlight w:val="none"/>
              </w:rPr>
              <w:t>响应文件</w:t>
            </w:r>
            <w:r>
              <w:rPr>
                <w:rFonts w:hint="eastAsia" w:ascii="宋体" w:hAnsi="宋体" w:eastAsia="宋体" w:cs="宋体"/>
                <w:b/>
                <w:bCs/>
                <w:sz w:val="21"/>
                <w:szCs w:val="21"/>
                <w:highlight w:val="none"/>
              </w:rPr>
              <w:t>正本一份、副本五份</w:t>
            </w:r>
            <w:r>
              <w:rPr>
                <w:rFonts w:hint="eastAsia" w:ascii="宋体" w:hAnsi="宋体" w:eastAsia="宋体" w:cs="宋体"/>
                <w:sz w:val="21"/>
                <w:szCs w:val="21"/>
                <w:highlight w:val="none"/>
              </w:rPr>
              <w:t>（</w:t>
            </w:r>
            <w:r>
              <w:rPr>
                <w:rFonts w:hint="eastAsia" w:ascii="宋体" w:hAnsi="宋体" w:eastAsia="宋体" w:cs="宋体"/>
                <w:b/>
                <w:bCs/>
                <w:sz w:val="21"/>
                <w:szCs w:val="21"/>
                <w:highlight w:val="none"/>
              </w:rPr>
              <w:t>A4标准纸装订，建议双面打印</w:t>
            </w:r>
            <w:r>
              <w:rPr>
                <w:rFonts w:hint="eastAsia" w:ascii="宋体" w:hAnsi="宋体" w:eastAsia="宋体" w:cs="宋体"/>
                <w:sz w:val="21"/>
                <w:szCs w:val="21"/>
                <w:highlight w:val="none"/>
              </w:rPr>
              <w:t>），正本与副本不一致时，以正本为准。不同语言的内容不一致的，以中文文本为准。提供响应文件正本</w:t>
            </w:r>
            <w:r>
              <w:rPr>
                <w:rFonts w:hint="eastAsia" w:ascii="宋体" w:hAnsi="宋体" w:eastAsia="宋体" w:cs="宋体"/>
                <w:b/>
                <w:bCs/>
                <w:sz w:val="21"/>
                <w:szCs w:val="21"/>
                <w:highlight w:val="none"/>
              </w:rPr>
              <w:t>电子版光盘或U盘一份（盖章扫描件+word版）</w:t>
            </w:r>
            <w:r>
              <w:rPr>
                <w:rFonts w:hint="eastAsia" w:ascii="宋体" w:hAnsi="宋体" w:eastAsia="宋体" w:cs="宋体"/>
                <w:sz w:val="21"/>
                <w:szCs w:val="21"/>
                <w:highlight w:val="none"/>
              </w:rPr>
              <w:t>，纸质版与电子版响应文件应一致</w:t>
            </w:r>
            <w:r>
              <w:rPr>
                <w:rFonts w:hint="eastAsia" w:ascii="宋体" w:hAnsi="宋体" w:eastAsia="宋体" w:cs="宋体"/>
                <w:sz w:val="21"/>
                <w:szCs w:val="21"/>
                <w:highlight w:val="none"/>
                <w:lang w:eastAsia="zh-CN"/>
              </w:rPr>
              <w:t>，</w:t>
            </w:r>
            <w:r>
              <w:rPr>
                <w:rFonts w:hint="eastAsia" w:ascii="宋体" w:hAnsi="宋体" w:eastAsia="宋体" w:cs="宋体"/>
                <w:sz w:val="21"/>
                <w:szCs w:val="21"/>
                <w:highlight w:val="none"/>
              </w:rPr>
              <w:t>电子版响应文件与纸质版不一致的，以纸质版响应文件正本为准。</w:t>
            </w:r>
          </w:p>
        </w:tc>
      </w:tr>
      <w:tr w14:paraId="127FB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5C017B2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14</w:t>
            </w:r>
          </w:p>
        </w:tc>
        <w:tc>
          <w:tcPr>
            <w:tcW w:w="1765" w:type="dxa"/>
            <w:vAlign w:val="center"/>
          </w:tcPr>
          <w:p w14:paraId="6DE13CBD">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响应文件编制</w:t>
            </w:r>
          </w:p>
        </w:tc>
        <w:tc>
          <w:tcPr>
            <w:tcW w:w="6863" w:type="dxa"/>
            <w:vAlign w:val="center"/>
          </w:tcPr>
          <w:p w14:paraId="78752B8B">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（1）响应文件的正本需打印或用不褪色的墨水填写，响应文件正本除本磋商文件中规定的可提供复印件外均须提供原件。</w:t>
            </w:r>
          </w:p>
          <w:p w14:paraId="7B938866">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（2）响应文件须由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在规定位置盖单位公章并由法定代表人或授权委托代理人签署，</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应写全称。</w:t>
            </w:r>
          </w:p>
          <w:p w14:paraId="364FDA1D">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（3）响应文件不得涂改，若有修改错漏处，须加盖单位公章及法定代表人或授权委托代理人签字或盖印鉴章。响应文件因字迹潦草或表达不清所引起的后果由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负责。</w:t>
            </w:r>
          </w:p>
          <w:p w14:paraId="2036ED44">
            <w:pPr>
              <w:keepNext w:val="0"/>
              <w:keepLines w:val="0"/>
              <w:pageBreakBefore w:val="0"/>
              <w:kinsoku/>
              <w:wordWrap/>
              <w:overflowPunct/>
              <w:topLinePunct w:val="0"/>
              <w:autoSpaceDE/>
              <w:autoSpaceDN/>
              <w:bidi w:val="0"/>
              <w:adjustRightInd/>
              <w:snapToGrid w:val="0"/>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（4）响应文件的扫描件、复印件、身份证件、合同复印件、公章、字体等内容必须清晰可辨，否则响应文件视为无效。</w:t>
            </w:r>
          </w:p>
          <w:p w14:paraId="56ABECFE">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应按第六章响应文件格式规定的顺序自编目录及页码装订，响应文件的封面应注明“正本”、“副本”字样，封面上写明项目名称、项目编号、</w:t>
            </w:r>
            <w:r>
              <w:rPr>
                <w:rFonts w:hint="eastAsia" w:ascii="宋体" w:hAnsi="宋体" w:eastAsia="宋体" w:cs="宋体"/>
                <w:sz w:val="21"/>
                <w:szCs w:val="21"/>
                <w:highlight w:val="none"/>
                <w:lang w:val="en-US" w:eastAsia="zh-CN"/>
              </w:rPr>
              <w:t>竞标</w:t>
            </w:r>
            <w:r>
              <w:rPr>
                <w:rFonts w:hint="eastAsia" w:ascii="宋体" w:hAnsi="宋体" w:eastAsia="宋体" w:cs="宋体"/>
                <w:sz w:val="21"/>
                <w:szCs w:val="21"/>
                <w:highlight w:val="none"/>
              </w:rPr>
              <w:t>单位名称。</w:t>
            </w:r>
          </w:p>
          <w:p w14:paraId="6DA41599">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（6）将响应文件“正本”签字盖章后扫描，制作成不可编辑的PDF文档刻在光盘或U盘上，装入响应文件袋中。</w:t>
            </w:r>
          </w:p>
          <w:p w14:paraId="1EFA5408">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（7）未按规定或标记的响应文件将被拒绝，由此造成的响应文件被误投或提前拆封的风险由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承担。</w:t>
            </w:r>
          </w:p>
        </w:tc>
      </w:tr>
      <w:tr w14:paraId="1F1A2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0B8CEA47">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15</w:t>
            </w:r>
          </w:p>
        </w:tc>
        <w:tc>
          <w:tcPr>
            <w:tcW w:w="1765" w:type="dxa"/>
            <w:vAlign w:val="center"/>
          </w:tcPr>
          <w:p w14:paraId="1C4E7E8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装订要求</w:t>
            </w:r>
          </w:p>
        </w:tc>
        <w:tc>
          <w:tcPr>
            <w:tcW w:w="6863" w:type="dxa"/>
            <w:vAlign w:val="center"/>
          </w:tcPr>
          <w:p w14:paraId="417E2BB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（1）按照响应文件组成内容，先做成纸质文件→签字盖章→扫描→刻在光盘或U盘上。</w:t>
            </w:r>
          </w:p>
          <w:p w14:paraId="2779CC7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（2）响应文件正本、副本按照响应文件组成内容，单独装订成册并标注页码，装订应牢固、不易拆散和换页，不得采用活页装订。</w:t>
            </w:r>
          </w:p>
        </w:tc>
      </w:tr>
      <w:tr w14:paraId="69EBA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1021" w:type="dxa"/>
            <w:vAlign w:val="center"/>
          </w:tcPr>
          <w:p w14:paraId="735669D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16</w:t>
            </w:r>
          </w:p>
        </w:tc>
        <w:tc>
          <w:tcPr>
            <w:tcW w:w="1765" w:type="dxa"/>
            <w:vAlign w:val="center"/>
          </w:tcPr>
          <w:p w14:paraId="69C8A14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position w:val="10"/>
                <w:sz w:val="21"/>
                <w:szCs w:val="21"/>
                <w:highlight w:val="none"/>
              </w:rPr>
            </w:pPr>
            <w:r>
              <w:rPr>
                <w:rFonts w:hint="eastAsia" w:ascii="宋体" w:hAnsi="宋体" w:eastAsia="宋体" w:cs="宋体"/>
                <w:position w:val="10"/>
                <w:sz w:val="21"/>
                <w:szCs w:val="21"/>
                <w:highlight w:val="none"/>
              </w:rPr>
              <w:t>包装、密封</w:t>
            </w:r>
          </w:p>
        </w:tc>
        <w:tc>
          <w:tcPr>
            <w:tcW w:w="6863" w:type="dxa"/>
            <w:vAlign w:val="center"/>
          </w:tcPr>
          <w:p w14:paraId="5AB5DA9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（1）正本、副本、光盘或U盘密封在一个响应文件密封袋中，封贴处须盖章（公章或密封章）或法定代表人或其授权代表签字。</w:t>
            </w:r>
          </w:p>
          <w:p w14:paraId="0F75B92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（2）密封袋封面上注明</w:t>
            </w:r>
          </w:p>
          <w:p w14:paraId="0D3F0A6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竞标</w:t>
            </w:r>
            <w:r>
              <w:rPr>
                <w:rFonts w:hint="eastAsia" w:ascii="宋体" w:hAnsi="宋体" w:eastAsia="宋体" w:cs="宋体"/>
                <w:sz w:val="21"/>
                <w:szCs w:val="21"/>
                <w:highlight w:val="none"/>
              </w:rPr>
              <w:t>单位名称：</w:t>
            </w:r>
          </w:p>
          <w:p w14:paraId="0BA13F9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项目名称：</w:t>
            </w:r>
            <w:r>
              <w:rPr>
                <w:rFonts w:hint="eastAsia" w:ascii="宋体" w:hAnsi="宋体" w:eastAsia="宋体" w:cs="宋体"/>
                <w:b/>
                <w:bCs/>
                <w:sz w:val="21"/>
                <w:szCs w:val="21"/>
                <w:highlight w:val="none"/>
              </w:rPr>
              <w:t>桂林银行采购洗钱风险自评估咨询项目</w:t>
            </w:r>
          </w:p>
          <w:p w14:paraId="491E4EAD">
            <w:pPr>
              <w:keepNext w:val="0"/>
              <w:keepLines w:val="0"/>
              <w:pageBreakBefore w:val="0"/>
              <w:kinsoku/>
              <w:wordWrap/>
              <w:overflowPunct/>
              <w:topLinePunct w:val="0"/>
              <w:autoSpaceDE/>
              <w:autoSpaceDN/>
              <w:bidi w:val="0"/>
              <w:adjustRightInd/>
              <w:spacing w:line="400" w:lineRule="exact"/>
              <w:textAlignment w:val="auto"/>
              <w:rPr>
                <w:rFonts w:hint="default" w:ascii="宋体" w:hAnsi="宋体" w:eastAsia="宋体" w:cs="宋体"/>
                <w:b/>
                <w:bCs/>
                <w:sz w:val="21"/>
                <w:szCs w:val="21"/>
                <w:highlight w:val="none"/>
                <w:lang w:val="en-US" w:eastAsia="zh-CN"/>
              </w:rPr>
            </w:pPr>
            <w:r>
              <w:rPr>
                <w:rFonts w:hint="eastAsia" w:ascii="宋体" w:hAnsi="宋体" w:eastAsia="宋体" w:cs="宋体"/>
                <w:sz w:val="21"/>
                <w:szCs w:val="21"/>
                <w:highlight w:val="none"/>
              </w:rPr>
              <w:t>项目编号：</w:t>
            </w:r>
            <w:r>
              <w:rPr>
                <w:rFonts w:hint="eastAsia" w:ascii="宋体" w:hAnsi="宋体" w:eastAsia="宋体" w:cs="宋体"/>
                <w:b/>
                <w:bCs/>
                <w:sz w:val="21"/>
                <w:szCs w:val="21"/>
                <w:highlight w:val="none"/>
              </w:rPr>
              <w:t>GYJC202</w:t>
            </w:r>
            <w:r>
              <w:rPr>
                <w:rFonts w:hint="eastAsia" w:ascii="宋体" w:hAnsi="宋体" w:cs="宋体"/>
                <w:b/>
                <w:bCs/>
                <w:sz w:val="21"/>
                <w:szCs w:val="21"/>
                <w:highlight w:val="none"/>
                <w:lang w:val="en-US" w:eastAsia="zh-CN"/>
              </w:rPr>
              <w:t>5155</w:t>
            </w:r>
          </w:p>
          <w:p w14:paraId="41A9F90D">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在</w:t>
            </w:r>
            <w:r>
              <w:rPr>
                <w:rFonts w:hint="eastAsia" w:ascii="宋体" w:hAnsi="宋体" w:eastAsia="宋体" w:cs="宋体"/>
                <w:b/>
                <w:sz w:val="21"/>
                <w:szCs w:val="21"/>
                <w:highlight w:val="none"/>
              </w:rPr>
              <w:t>202</w:t>
            </w:r>
            <w:r>
              <w:rPr>
                <w:rFonts w:hint="eastAsia" w:ascii="宋体" w:hAnsi="宋体" w:cs="宋体"/>
                <w:b/>
                <w:sz w:val="21"/>
                <w:szCs w:val="21"/>
                <w:highlight w:val="none"/>
                <w:lang w:val="en-US" w:eastAsia="zh-CN"/>
              </w:rPr>
              <w:t>5</w:t>
            </w:r>
            <w:r>
              <w:rPr>
                <w:rFonts w:hint="eastAsia" w:ascii="宋体" w:hAnsi="宋体" w:eastAsia="宋体" w:cs="宋体"/>
                <w:b/>
                <w:sz w:val="21"/>
                <w:szCs w:val="21"/>
                <w:highlight w:val="none"/>
              </w:rPr>
              <w:t>年</w:t>
            </w:r>
            <w:r>
              <w:rPr>
                <w:rFonts w:hint="eastAsia" w:ascii="宋体" w:hAnsi="宋体" w:cs="宋体"/>
                <w:b/>
                <w:sz w:val="21"/>
                <w:szCs w:val="21"/>
                <w:highlight w:val="none"/>
                <w:lang w:val="en-US" w:eastAsia="zh-CN"/>
              </w:rPr>
              <w:t>12</w:t>
            </w:r>
            <w:r>
              <w:rPr>
                <w:rFonts w:hint="eastAsia" w:ascii="宋体" w:hAnsi="宋体" w:eastAsia="宋体" w:cs="宋体"/>
                <w:b/>
                <w:sz w:val="21"/>
                <w:szCs w:val="21"/>
                <w:highlight w:val="none"/>
              </w:rPr>
              <w:t>月</w:t>
            </w:r>
            <w:r>
              <w:rPr>
                <w:rFonts w:hint="eastAsia" w:ascii="宋体" w:hAnsi="宋体" w:cs="宋体"/>
                <w:b/>
                <w:sz w:val="21"/>
                <w:szCs w:val="21"/>
                <w:highlight w:val="none"/>
                <w:lang w:val="en-US" w:eastAsia="zh-CN"/>
              </w:rPr>
              <w:t>29</w:t>
            </w:r>
            <w:r>
              <w:rPr>
                <w:rFonts w:hint="eastAsia" w:ascii="宋体" w:hAnsi="宋体" w:eastAsia="宋体" w:cs="宋体"/>
                <w:b/>
                <w:sz w:val="21"/>
                <w:szCs w:val="21"/>
                <w:highlight w:val="none"/>
              </w:rPr>
              <w:t>日</w:t>
            </w:r>
            <w:r>
              <w:rPr>
                <w:rFonts w:hint="eastAsia" w:ascii="宋体" w:hAnsi="宋体" w:cs="宋体"/>
                <w:b/>
                <w:sz w:val="21"/>
                <w:szCs w:val="21"/>
                <w:highlight w:val="none"/>
                <w:lang w:val="en-US" w:eastAsia="zh-CN"/>
              </w:rPr>
              <w:t>15</w:t>
            </w:r>
            <w:r>
              <w:rPr>
                <w:rFonts w:hint="eastAsia" w:ascii="宋体" w:hAnsi="宋体" w:eastAsia="宋体" w:cs="宋体"/>
                <w:b/>
                <w:sz w:val="21"/>
                <w:szCs w:val="21"/>
                <w:highlight w:val="none"/>
              </w:rPr>
              <w:t>时00分前</w:t>
            </w:r>
            <w:r>
              <w:rPr>
                <w:rFonts w:hint="eastAsia" w:ascii="宋体" w:hAnsi="宋体" w:eastAsia="宋体" w:cs="宋体"/>
                <w:sz w:val="21"/>
                <w:szCs w:val="21"/>
                <w:highlight w:val="none"/>
              </w:rPr>
              <w:t>不得开启</w:t>
            </w:r>
          </w:p>
        </w:tc>
      </w:tr>
      <w:tr w14:paraId="1DA938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5A051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17</w:t>
            </w:r>
          </w:p>
        </w:tc>
        <w:tc>
          <w:tcPr>
            <w:tcW w:w="1765" w:type="dxa"/>
            <w:vAlign w:val="center"/>
          </w:tcPr>
          <w:p w14:paraId="1636CA4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响应文件递交截止时间及截标时间</w:t>
            </w:r>
          </w:p>
        </w:tc>
        <w:tc>
          <w:tcPr>
            <w:tcW w:w="6863" w:type="dxa"/>
            <w:vAlign w:val="center"/>
          </w:tcPr>
          <w:p w14:paraId="01ECC95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见第一章竞争性磋商公告要求。</w:t>
            </w:r>
          </w:p>
        </w:tc>
      </w:tr>
      <w:tr w14:paraId="7A779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9" w:hRule="atLeast"/>
        </w:trPr>
        <w:tc>
          <w:tcPr>
            <w:tcW w:w="1021" w:type="dxa"/>
            <w:vAlign w:val="center"/>
          </w:tcPr>
          <w:p w14:paraId="3EC6360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18</w:t>
            </w:r>
          </w:p>
        </w:tc>
        <w:tc>
          <w:tcPr>
            <w:tcW w:w="1765" w:type="dxa"/>
            <w:vAlign w:val="center"/>
          </w:tcPr>
          <w:p w14:paraId="5484DA2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磋商时间及地点</w:t>
            </w:r>
          </w:p>
        </w:tc>
        <w:tc>
          <w:tcPr>
            <w:tcW w:w="6863" w:type="dxa"/>
          </w:tcPr>
          <w:p w14:paraId="5979F62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磋商时间：见第一章竞争性磋商公告要求。</w:t>
            </w:r>
          </w:p>
          <w:p w14:paraId="1888F61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磋商地点：广西桂林市临桂区公园北路8号桂林金融大厦A附楼三楼</w:t>
            </w:r>
          </w:p>
          <w:p w14:paraId="02B030F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（1）评审小组会要求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在规定的时间内参加磋商、递交最终磋商报价及应答。</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递交的应答文件、最终报价等材料必须由法定代表人或委托代理人签章或加盖</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的公章确认。</w:t>
            </w:r>
          </w:p>
          <w:p w14:paraId="33DA840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未提供联系方式，致使采购人或评审小组在项目评标期间无法与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取得联系的，或因自身原因未能保持电话畅通或未按评审小组要求提交响应文件、最终响应报价等材料的，后果由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自行承担。</w:t>
            </w:r>
          </w:p>
        </w:tc>
      </w:tr>
      <w:tr w14:paraId="145A2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0" w:hRule="atLeast"/>
        </w:trPr>
        <w:tc>
          <w:tcPr>
            <w:tcW w:w="1021" w:type="dxa"/>
            <w:vAlign w:val="center"/>
          </w:tcPr>
          <w:p w14:paraId="4CFA250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19</w:t>
            </w:r>
          </w:p>
        </w:tc>
        <w:tc>
          <w:tcPr>
            <w:tcW w:w="1765" w:type="dxa"/>
            <w:vAlign w:val="center"/>
          </w:tcPr>
          <w:p w14:paraId="3D6BBD4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响应文件的修改</w:t>
            </w:r>
          </w:p>
        </w:tc>
        <w:tc>
          <w:tcPr>
            <w:tcW w:w="6863" w:type="dxa"/>
            <w:vAlign w:val="center"/>
          </w:tcPr>
          <w:p w14:paraId="01704C1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在响应文件截止时间之前，可以对已递交的响应文件进行修改或撤回，并书面通知采购人。撤回或修改响应文件的书面通知应由</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法定代表人或其授权代表签字确认；修改后重新递交的响应文件应当在封套上标明“修改响应文件”字样并密封，在响应文件截止时间前送达，未按要求递交的采购人可以拒收。</w:t>
            </w:r>
          </w:p>
          <w:p w14:paraId="6D45E3F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（2）响应文件截止时间后的磋商有效期内，</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不得撤回、修改响应文件。</w:t>
            </w:r>
          </w:p>
        </w:tc>
      </w:tr>
      <w:tr w14:paraId="6C89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7B8FD22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20</w:t>
            </w:r>
          </w:p>
        </w:tc>
        <w:tc>
          <w:tcPr>
            <w:tcW w:w="1765" w:type="dxa"/>
            <w:vAlign w:val="center"/>
          </w:tcPr>
          <w:p w14:paraId="6F463353">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响应文件有效期</w:t>
            </w:r>
          </w:p>
        </w:tc>
        <w:tc>
          <w:tcPr>
            <w:tcW w:w="6863" w:type="dxa"/>
          </w:tcPr>
          <w:p w14:paraId="283C0E7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（1）未</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供应商响应文件递交截止之日起60</w:t>
            </w:r>
            <w:r>
              <w:rPr>
                <w:rFonts w:hint="eastAsia" w:ascii="宋体" w:hAnsi="宋体" w:eastAsia="宋体" w:cs="宋体"/>
                <w:sz w:val="21"/>
                <w:szCs w:val="21"/>
                <w:highlight w:val="none"/>
                <w:lang w:val="en-US" w:eastAsia="zh-CN"/>
              </w:rPr>
              <w:t>日历天</w:t>
            </w:r>
            <w:r>
              <w:rPr>
                <w:rFonts w:hint="eastAsia" w:ascii="宋体" w:hAnsi="宋体" w:eastAsia="宋体" w:cs="宋体"/>
                <w:sz w:val="21"/>
                <w:szCs w:val="21"/>
                <w:highlight w:val="none"/>
              </w:rPr>
              <w:t>。响应有效期不足的响应文件将被否决。在特殊情况下，采购人可与</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协商延长响应文件的有效期，这种要求和答复均以书面形式进行。</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可拒绝接受延期要求而不会导致磋商保证金被没收。同意延长有效期的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需要相应延长磋商保证金的有效期，但不能修改响应文件。</w:t>
            </w:r>
          </w:p>
          <w:p w14:paraId="0389294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（2）成交供应商的响应文件有效期自响应文件提交截止之日起至合同履行完毕止均应保持有效。</w:t>
            </w:r>
          </w:p>
        </w:tc>
      </w:tr>
      <w:tr w14:paraId="1026D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0A858F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21</w:t>
            </w:r>
          </w:p>
        </w:tc>
        <w:tc>
          <w:tcPr>
            <w:tcW w:w="1765" w:type="dxa"/>
            <w:vAlign w:val="center"/>
          </w:tcPr>
          <w:p w14:paraId="569B6F20">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磋商程序</w:t>
            </w:r>
          </w:p>
        </w:tc>
        <w:tc>
          <w:tcPr>
            <w:tcW w:w="6863" w:type="dxa"/>
          </w:tcPr>
          <w:p w14:paraId="1C31228A">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（1）磋商时间和地点：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代表应在接到采购人通知后半小时内到达磋商现场，否则视为自动放弃磋商。</w:t>
            </w:r>
          </w:p>
          <w:p w14:paraId="3AAB6DF5">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（2）磋商代表：</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可派授权代表1名或法定代表人参加磋商，磋商必须持有效证件。</w:t>
            </w:r>
          </w:p>
          <w:p w14:paraId="19DB001C">
            <w:pPr>
              <w:keepNext w:val="0"/>
              <w:keepLines w:val="0"/>
              <w:pageBreakBefore w:val="0"/>
              <w:kinsoku/>
              <w:wordWrap/>
              <w:overflowPunct/>
              <w:topLinePunct w:val="0"/>
              <w:autoSpaceDE/>
              <w:autoSpaceDN/>
              <w:bidi w:val="0"/>
              <w:adjustRightInd/>
              <w:spacing w:line="400" w:lineRule="exact"/>
              <w:jc w:val="lef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（3）评审小组在磋商中可能实质性变动的内容：项目需求中的技术、服务要求以及合同草案条款。</w:t>
            </w:r>
          </w:p>
          <w:p w14:paraId="2B32274F">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（4）磋商流程</w:t>
            </w:r>
          </w:p>
          <w:p w14:paraId="4E988D2B">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①宣布磋商会议开始。</w:t>
            </w:r>
          </w:p>
          <w:p w14:paraId="3D8B1628">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②评审响应文件。</w:t>
            </w:r>
          </w:p>
          <w:p w14:paraId="282A978C">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③磋商。</w:t>
            </w:r>
          </w:p>
          <w:p w14:paraId="121F69CD">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④最后报价。</w:t>
            </w:r>
          </w:p>
          <w:p w14:paraId="64124F80">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⑤</w:t>
            </w:r>
            <w:r>
              <w:rPr>
                <w:rFonts w:hint="eastAsia" w:ascii="宋体" w:hAnsi="宋体" w:eastAsia="宋体" w:cs="宋体"/>
                <w:sz w:val="21"/>
                <w:szCs w:val="21"/>
                <w:highlight w:val="none"/>
                <w:lang w:val="en-US" w:eastAsia="zh-CN"/>
              </w:rPr>
              <w:t>综合比较和评价。</w:t>
            </w:r>
          </w:p>
          <w:p w14:paraId="46216A5C">
            <w:pPr>
              <w:pStyle w:val="2"/>
              <w:keepNext w:val="0"/>
              <w:keepLines w:val="0"/>
              <w:pageBreakBefore w:val="0"/>
              <w:widowControl/>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⑥</w:t>
            </w:r>
            <w:r>
              <w:rPr>
                <w:rFonts w:hint="eastAsia" w:ascii="宋体" w:hAnsi="宋体" w:eastAsia="宋体" w:cs="宋体"/>
                <w:sz w:val="21"/>
                <w:szCs w:val="21"/>
                <w:highlight w:val="none"/>
              </w:rPr>
              <w:t>推荐</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候选</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名单。</w:t>
            </w:r>
          </w:p>
        </w:tc>
      </w:tr>
      <w:tr w14:paraId="4CD08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1021" w:type="dxa"/>
            <w:vAlign w:val="center"/>
          </w:tcPr>
          <w:p w14:paraId="546CDA01">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22</w:t>
            </w:r>
          </w:p>
        </w:tc>
        <w:tc>
          <w:tcPr>
            <w:tcW w:w="1765" w:type="dxa"/>
            <w:vAlign w:val="center"/>
          </w:tcPr>
          <w:p w14:paraId="799A02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采购结果公示</w:t>
            </w:r>
          </w:p>
        </w:tc>
        <w:tc>
          <w:tcPr>
            <w:tcW w:w="6863" w:type="dxa"/>
            <w:vAlign w:val="center"/>
          </w:tcPr>
          <w:p w14:paraId="597D06DC">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采购结果公示发布于桂林银行股份有限公司官网https://www.guilinbank.com.cn/</w:t>
            </w:r>
            <w:r>
              <w:rPr>
                <w:rFonts w:hint="eastAsia" w:ascii="宋体" w:hAnsi="宋体" w:eastAsia="宋体" w:cs="宋体"/>
                <w:kern w:val="0"/>
                <w:sz w:val="21"/>
                <w:szCs w:val="21"/>
                <w:highlight w:val="none"/>
              </w:rPr>
              <w:t>，广西阳光采购服务平台https://ygcgxz.bbwcq.com/#/index</w:t>
            </w:r>
          </w:p>
        </w:tc>
      </w:tr>
      <w:tr w14:paraId="3A25D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36D8694A">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23</w:t>
            </w:r>
          </w:p>
        </w:tc>
        <w:tc>
          <w:tcPr>
            <w:tcW w:w="1765" w:type="dxa"/>
            <w:vAlign w:val="center"/>
          </w:tcPr>
          <w:p w14:paraId="7C9CC085">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签订合同</w:t>
            </w:r>
          </w:p>
        </w:tc>
        <w:tc>
          <w:tcPr>
            <w:tcW w:w="6863" w:type="dxa"/>
          </w:tcPr>
          <w:p w14:paraId="235E7A0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（1）排名</w:t>
            </w:r>
            <w:r>
              <w:rPr>
                <w:rFonts w:hint="eastAsia" w:ascii="宋体" w:hAnsi="宋体" w:eastAsia="宋体" w:cs="宋体"/>
                <w:b/>
                <w:bCs/>
                <w:sz w:val="21"/>
                <w:szCs w:val="21"/>
                <w:highlight w:val="none"/>
              </w:rPr>
              <w:t>第1</w:t>
            </w:r>
            <w:r>
              <w:rPr>
                <w:rFonts w:hint="eastAsia" w:ascii="宋体" w:hAnsi="宋体" w:eastAsia="宋体" w:cs="宋体"/>
                <w:sz w:val="21"/>
                <w:szCs w:val="21"/>
                <w:highlight w:val="none"/>
              </w:rPr>
              <w:t>的</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领取合作通知书后，应当自合作通知书发出之日起30日内，按照磋商文件和响应文件的规定，与采购人签订书面合同。若</w:t>
            </w:r>
            <w:r>
              <w:rPr>
                <w:rFonts w:hint="eastAsia" w:ascii="宋体" w:hAnsi="宋体" w:eastAsia="宋体" w:cs="宋体"/>
                <w:sz w:val="21"/>
                <w:szCs w:val="21"/>
                <w:highlight w:val="none"/>
                <w:lang w:val="en-US" w:eastAsia="zh-CN"/>
              </w:rPr>
              <w:t>成交供应商</w:t>
            </w:r>
            <w:r>
              <w:rPr>
                <w:rFonts w:hint="eastAsia" w:ascii="宋体" w:hAnsi="宋体" w:eastAsia="宋体" w:cs="宋体"/>
                <w:sz w:val="21"/>
                <w:szCs w:val="21"/>
                <w:highlight w:val="none"/>
              </w:rPr>
              <w:t>拒绝与采购人签订合同的，采购人可以按照评审报告得分排序，确定下一</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为成交供应商，也可以重新开展采购活动。</w:t>
            </w:r>
          </w:p>
          <w:p w14:paraId="36F44DB2">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所签订的合同不得对磋商文件确定的事项和成交供应商响应文件作实质性修改。</w:t>
            </w:r>
          </w:p>
          <w:p w14:paraId="02B83A9E">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采购人与成交供应商签订合同后，采购合同的履行、违约责任和解决争议的方法等适用《中华人民共和国民法典》。合同双方应严格执行合同条款，履行合同规定的义务，保证合同的顺利完成。双方均不得擅自变更、中止或者终止采购合同。</w:t>
            </w:r>
          </w:p>
          <w:p w14:paraId="3258BD6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（3）如成交供应商有下列情形之一的，将其列入不良行为记录名单，在一至三年内禁止参加桂林银行采购活动，并予以通报。采购人可从评审</w:t>
            </w:r>
            <w:r>
              <w:rPr>
                <w:rFonts w:hint="eastAsia" w:ascii="宋体" w:hAnsi="宋体" w:eastAsia="宋体" w:cs="宋体"/>
                <w:sz w:val="21"/>
                <w:szCs w:val="21"/>
                <w:highlight w:val="none"/>
                <w:lang w:val="en-US" w:eastAsia="zh-CN"/>
              </w:rPr>
              <w:t>小组</w:t>
            </w:r>
            <w:r>
              <w:rPr>
                <w:rFonts w:hint="eastAsia" w:ascii="宋体" w:hAnsi="宋体" w:eastAsia="宋体" w:cs="宋体"/>
                <w:sz w:val="21"/>
                <w:szCs w:val="21"/>
                <w:highlight w:val="none"/>
              </w:rPr>
              <w:t>推荐的</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候选</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中按顺序重新确定成交供应商，组织供需双方签订合同或重新组织采购。</w:t>
            </w:r>
          </w:p>
          <w:p w14:paraId="4432E5D0">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①</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后不与采购人签订合同的（不可抗力除外）；</w:t>
            </w:r>
          </w:p>
          <w:p w14:paraId="054F6AA3">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②将项目转让给他人，或者在响应文件中未说明，且未经采购人同意，将项目分包给他人的；</w:t>
            </w:r>
          </w:p>
          <w:p w14:paraId="69042655">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③拒绝履行合同义务的。</w:t>
            </w:r>
          </w:p>
        </w:tc>
      </w:tr>
      <w:tr w14:paraId="7E4A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trPr>
        <w:tc>
          <w:tcPr>
            <w:tcW w:w="1021" w:type="dxa"/>
            <w:vAlign w:val="center"/>
          </w:tcPr>
          <w:p w14:paraId="1807E1D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24</w:t>
            </w:r>
          </w:p>
        </w:tc>
        <w:tc>
          <w:tcPr>
            <w:tcW w:w="1765" w:type="dxa"/>
            <w:vAlign w:val="center"/>
          </w:tcPr>
          <w:p w14:paraId="649002C9">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定义或说明</w:t>
            </w:r>
          </w:p>
        </w:tc>
        <w:tc>
          <w:tcPr>
            <w:tcW w:w="6863" w:type="dxa"/>
          </w:tcPr>
          <w:p w14:paraId="1E30A8EA">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（1）“采购人”是指桂林银行股份有限公司。</w:t>
            </w:r>
          </w:p>
          <w:p w14:paraId="5E9F8E36">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（2）“磋商</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”是指符合本次磋商项目的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资格并提交响应文件的</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（以下简称“</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w:t>
            </w:r>
          </w:p>
          <w:p w14:paraId="43C26604">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（3）“响应文件”是指</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按照磋商文件要求编写，并向采购人递交的有效的文字说明、表格、图表等文件，如</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对响应文件进行有效的补充、修改、澄清或说明则该补充、修改、澄清和说明构成响应文件不可分割的一部分（以下简称“响应文件”）。</w:t>
            </w:r>
          </w:p>
          <w:p w14:paraId="6607C40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（4）“服务”是指磋商文件规定，</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须承担的系统开发、测试、部署、调试、技术协助、校准、培训、技术指导以及其他类似的义务。</w:t>
            </w:r>
          </w:p>
          <w:p w14:paraId="62FB07A7">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（5）“书面形式”包括信函、传真、电报、电子邮件。</w:t>
            </w:r>
          </w:p>
          <w:p w14:paraId="40BB2DFD">
            <w:pPr>
              <w:keepNext w:val="0"/>
              <w:keepLines w:val="0"/>
              <w:pageBreakBefore w:val="0"/>
              <w:kinsoku/>
              <w:wordWrap/>
              <w:overflowPunct/>
              <w:topLinePunct w:val="0"/>
              <w:autoSpaceDE/>
              <w:autoSpaceDN/>
              <w:bidi w:val="0"/>
              <w:adjustRightInd/>
              <w:snapToGrid w:val="0"/>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（6）</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应保证其提供的联系方式（电话、传真、电子邮件）有效，以保证往来函件（澄清、修改等）能及时通知</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，并能及时反馈，否则采购人不承担由此引起的一切后果。</w:t>
            </w:r>
          </w:p>
          <w:p w14:paraId="70918824">
            <w:pPr>
              <w:pStyle w:val="2"/>
              <w:keepNext w:val="0"/>
              <w:keepLines w:val="0"/>
              <w:pageBreakBefore w:val="0"/>
              <w:kinsoku/>
              <w:wordWrap/>
              <w:overflowPunct/>
              <w:topLinePunct w:val="0"/>
              <w:autoSpaceDE/>
              <w:autoSpaceDN/>
              <w:bidi w:val="0"/>
              <w:adjustRightInd/>
              <w:spacing w:after="0"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（7）本项目所有响应文件均不予退还。</w:t>
            </w:r>
          </w:p>
          <w:p w14:paraId="1772BAE7">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（8）</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磋商所使用的资格、信誉、荣誉、业绩与企业认证必须为本法人所拥有。</w:t>
            </w:r>
          </w:p>
          <w:p w14:paraId="361B5CA5">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（9）</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应仔细阅读磋商文件的所有内容，按照磋商文件的要求提交响应文件，并对所提供的全部资料的真实性承担法律责任。</w:t>
            </w:r>
          </w:p>
          <w:p w14:paraId="0F527C74">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（10）</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在磋商活动中提供任何虚假材料，其报价无效；</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后发现的，成交供应商须依照《中华人民共和国消费者权益保护法》第49条之规定双倍赔偿采购人，且民事赔偿并不免除违法磋商</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的行政与刑事责任。</w:t>
            </w:r>
          </w:p>
          <w:p w14:paraId="0E5E7606">
            <w:pPr>
              <w:keepNext w:val="0"/>
              <w:keepLines w:val="0"/>
              <w:pageBreakBefore w:val="0"/>
              <w:tabs>
                <w:tab w:val="left" w:pos="163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应自行承担所有与编写和提交响应文件有关的费用，不论磋商结果如何，采购人在任何情况下无义务和责任承担此类费用。</w:t>
            </w:r>
          </w:p>
          <w:p w14:paraId="0A7756B5">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（12）响应文件以及</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与采购人就有关磋商事宜的所有来往函电，均应以中文汉语书写。</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提交的支持文件和印刷的文献可以使用别的语言，但其相应内容必须附有中文翻译文本，在解释响应文件时，以中文翻译文本为准。</w:t>
            </w:r>
          </w:p>
          <w:p w14:paraId="074CEC63">
            <w:pPr>
              <w:keepNext w:val="0"/>
              <w:keepLines w:val="0"/>
              <w:pageBreakBefore w:val="0"/>
              <w:tabs>
                <w:tab w:val="left" w:pos="1305"/>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（13）磋商计量单位，磋商文件已有明确规定的，使用磋商文件规定的计量单位；磋商文件没有规定的，应采用中华人民共和国法定计量单位（货币单位：人民币元），否则视同未响应。</w:t>
            </w:r>
          </w:p>
        </w:tc>
      </w:tr>
      <w:tr w14:paraId="4B133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12AC401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25</w:t>
            </w:r>
          </w:p>
        </w:tc>
        <w:tc>
          <w:tcPr>
            <w:tcW w:w="1765" w:type="dxa"/>
            <w:vAlign w:val="center"/>
          </w:tcPr>
          <w:p w14:paraId="208A042E">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解释权</w:t>
            </w:r>
          </w:p>
        </w:tc>
        <w:tc>
          <w:tcPr>
            <w:tcW w:w="6863" w:type="dxa"/>
          </w:tcPr>
          <w:p w14:paraId="2382805B">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本磋商文件参照有关法律法规和采购管理的有关规定及参照国际惯例编制，解释权属于采购人。</w:t>
            </w:r>
          </w:p>
        </w:tc>
      </w:tr>
      <w:tr w14:paraId="1FEB4F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261CA70B">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26</w:t>
            </w:r>
          </w:p>
        </w:tc>
        <w:tc>
          <w:tcPr>
            <w:tcW w:w="1765" w:type="dxa"/>
            <w:vAlign w:val="center"/>
          </w:tcPr>
          <w:p w14:paraId="6D328ED8">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质疑</w:t>
            </w:r>
          </w:p>
        </w:tc>
        <w:tc>
          <w:tcPr>
            <w:tcW w:w="6863" w:type="dxa"/>
          </w:tcPr>
          <w:p w14:paraId="497EB119">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认为</w:t>
            </w:r>
            <w:r>
              <w:rPr>
                <w:rFonts w:hint="eastAsia" w:ascii="宋体" w:hAnsi="宋体" w:eastAsia="宋体" w:cs="宋体"/>
                <w:sz w:val="21"/>
                <w:szCs w:val="21"/>
                <w:highlight w:val="none"/>
                <w:lang w:val="en-US" w:eastAsia="zh-CN"/>
              </w:rPr>
              <w:t>磋商</w:t>
            </w:r>
            <w:r>
              <w:rPr>
                <w:rFonts w:hint="eastAsia" w:ascii="宋体" w:hAnsi="宋体" w:eastAsia="宋体" w:cs="宋体"/>
                <w:sz w:val="21"/>
                <w:szCs w:val="21"/>
                <w:highlight w:val="none"/>
              </w:rPr>
              <w:t>文件、磋商过程或</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结果使自己的合法权益受到损害的，应当在知道或者应知其权益受到损害之日起3个工作日内，以书面形式向采购人提出质疑，采购人应认真做好质疑处理工作。</w:t>
            </w:r>
          </w:p>
          <w:p w14:paraId="3163713D">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（2）质疑、投诉应当采用书面形式，质疑书、投诉书实行实名制，均应明确阐述</w:t>
            </w:r>
            <w:r>
              <w:rPr>
                <w:rFonts w:hint="eastAsia" w:ascii="宋体" w:hAnsi="宋体" w:eastAsia="宋体" w:cs="宋体"/>
                <w:sz w:val="21"/>
                <w:szCs w:val="21"/>
                <w:highlight w:val="none"/>
                <w:lang w:val="en-US" w:eastAsia="zh-CN"/>
              </w:rPr>
              <w:t>磋商</w:t>
            </w:r>
            <w:r>
              <w:rPr>
                <w:rFonts w:hint="eastAsia" w:ascii="宋体" w:hAnsi="宋体" w:eastAsia="宋体" w:cs="宋体"/>
                <w:sz w:val="21"/>
                <w:szCs w:val="21"/>
                <w:highlight w:val="none"/>
              </w:rPr>
              <w:t>文件、磋商过程或</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结果中使自己合法权益受到损害的实质性内容，提供相关事实、依据和证据及其来源或线索，便于有关部门调查、答复和处理。</w:t>
            </w:r>
          </w:p>
        </w:tc>
      </w:tr>
      <w:tr w14:paraId="1998B3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021" w:type="dxa"/>
            <w:vAlign w:val="center"/>
          </w:tcPr>
          <w:p w14:paraId="4141AEFF">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27</w:t>
            </w:r>
          </w:p>
        </w:tc>
        <w:tc>
          <w:tcPr>
            <w:tcW w:w="1765" w:type="dxa"/>
            <w:vAlign w:val="center"/>
          </w:tcPr>
          <w:p w14:paraId="4C446E36">
            <w:pPr>
              <w:keepNext w:val="0"/>
              <w:keepLines w:val="0"/>
              <w:pageBreakBefore w:val="0"/>
              <w:kinsoku/>
              <w:wordWrap/>
              <w:overflowPunct/>
              <w:topLinePunct w:val="0"/>
              <w:autoSpaceDE/>
              <w:autoSpaceDN/>
              <w:bidi w:val="0"/>
              <w:adjustRightInd/>
              <w:spacing w:line="400" w:lineRule="exact"/>
              <w:jc w:val="center"/>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监督及投诉</w:t>
            </w:r>
          </w:p>
        </w:tc>
        <w:tc>
          <w:tcPr>
            <w:tcW w:w="6863" w:type="dxa"/>
          </w:tcPr>
          <w:p w14:paraId="7CD4DBB3">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对采购人的答复不满意或者采购人未在规定的时间内作出答复的，可以在答复期满后十五个工作日内向桂林银行监察部门提出投诉。监察部门联系方式：</w:t>
            </w:r>
          </w:p>
          <w:p w14:paraId="55B1520C">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联系人：桂林银行股份有限公司党委纪检</w:t>
            </w:r>
            <w:r>
              <w:rPr>
                <w:rFonts w:hint="eastAsia" w:ascii="宋体" w:hAnsi="宋体" w:eastAsia="宋体" w:cs="宋体"/>
                <w:sz w:val="21"/>
                <w:szCs w:val="21"/>
                <w:highlight w:val="none"/>
                <w:lang w:val="en-US" w:eastAsia="zh-CN"/>
              </w:rPr>
              <w:t>巡察</w:t>
            </w:r>
            <w:r>
              <w:rPr>
                <w:rFonts w:hint="eastAsia" w:ascii="宋体" w:hAnsi="宋体" w:eastAsia="宋体" w:cs="宋体"/>
                <w:sz w:val="21"/>
                <w:szCs w:val="21"/>
                <w:highlight w:val="none"/>
              </w:rPr>
              <w:t>办公室</w:t>
            </w:r>
          </w:p>
          <w:p w14:paraId="5D611CE3">
            <w:pPr>
              <w:keepNext w:val="0"/>
              <w:keepLines w:val="0"/>
              <w:pageBreakBefore w:val="0"/>
              <w:tabs>
                <w:tab w:val="left" w:pos="2190"/>
              </w:tabs>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联系电话：0773-3687234</w:t>
            </w:r>
          </w:p>
          <w:p w14:paraId="4A7F716C">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地址：桂林市临桂区公园北路8号金融大厦</w:t>
            </w:r>
            <w:r>
              <w:rPr>
                <w:rFonts w:hint="eastAsia" w:ascii="宋体" w:hAnsi="宋体" w:eastAsia="宋体" w:cs="宋体"/>
                <w:sz w:val="21"/>
                <w:szCs w:val="21"/>
                <w:highlight w:val="none"/>
                <w:lang w:val="en-US" w:eastAsia="zh-CN"/>
              </w:rPr>
              <w:t>A附楼二</w:t>
            </w:r>
            <w:r>
              <w:rPr>
                <w:rFonts w:hint="eastAsia" w:ascii="宋体" w:hAnsi="宋体" w:eastAsia="宋体" w:cs="宋体"/>
                <w:sz w:val="21"/>
                <w:szCs w:val="21"/>
                <w:highlight w:val="none"/>
              </w:rPr>
              <w:t>楼</w:t>
            </w:r>
          </w:p>
          <w:p w14:paraId="48DB5309">
            <w:pPr>
              <w:keepNext w:val="0"/>
              <w:keepLines w:val="0"/>
              <w:pageBreakBefore w:val="0"/>
              <w:kinsoku/>
              <w:wordWrap/>
              <w:overflowPunct/>
              <w:topLinePunct w:val="0"/>
              <w:autoSpaceDE/>
              <w:autoSpaceDN/>
              <w:bidi w:val="0"/>
              <w:adjustRightInd/>
              <w:spacing w:line="400" w:lineRule="exact"/>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邮箱：jjb@guilinbank.com.cn</w:t>
            </w:r>
          </w:p>
        </w:tc>
      </w:tr>
    </w:tbl>
    <w:p w14:paraId="33654A9A">
      <w:pPr>
        <w:spacing w:line="400" w:lineRule="exact"/>
        <w:rPr>
          <w:b/>
          <w:bCs/>
          <w:sz w:val="28"/>
          <w:szCs w:val="28"/>
          <w:highlight w:val="none"/>
        </w:rPr>
        <w:sectPr>
          <w:headerReference r:id="rId6" w:type="default"/>
          <w:footerReference r:id="rId7" w:type="default"/>
          <w:pgSz w:w="11905" w:h="16838"/>
          <w:pgMar w:top="1417" w:right="1361" w:bottom="1417" w:left="1361" w:header="850" w:footer="992" w:gutter="0"/>
          <w:pgBorders>
            <w:top w:val="none" w:sz="0" w:space="0"/>
            <w:left w:val="none" w:sz="0" w:space="0"/>
            <w:bottom w:val="none" w:sz="0" w:space="0"/>
            <w:right w:val="none" w:sz="0" w:space="0"/>
          </w:pgBorders>
          <w:cols w:space="0" w:num="1"/>
          <w:docGrid w:type="lines" w:linePitch="312" w:charSpace="0"/>
        </w:sectPr>
      </w:pPr>
    </w:p>
    <w:p w14:paraId="5A685243">
      <w:pPr>
        <w:pStyle w:val="39"/>
        <w:rPr>
          <w:highlight w:val="none"/>
        </w:rPr>
      </w:pPr>
      <w:bookmarkStart w:id="98" w:name="_Toc5599"/>
      <w:bookmarkStart w:id="99" w:name="_Toc22989"/>
      <w:bookmarkStart w:id="100" w:name="_Toc20167"/>
      <w:bookmarkStart w:id="101" w:name="_Toc6561"/>
      <w:bookmarkStart w:id="102" w:name="_Toc23021"/>
      <w:bookmarkStart w:id="103" w:name="_Toc18975"/>
      <w:bookmarkStart w:id="104" w:name="_Toc13939"/>
      <w:bookmarkStart w:id="105" w:name="_Toc1183"/>
      <w:bookmarkStart w:id="106" w:name="_Toc26871"/>
      <w:bookmarkStart w:id="107" w:name="_Toc15406"/>
      <w:bookmarkStart w:id="108" w:name="_Toc12257"/>
      <w:bookmarkStart w:id="109" w:name="_Toc24423"/>
      <w:bookmarkStart w:id="110" w:name="_Toc10489"/>
      <w:bookmarkStart w:id="111" w:name="_Toc9951098"/>
      <w:bookmarkStart w:id="112" w:name="_Toc853"/>
      <w:bookmarkStart w:id="113" w:name="_Toc15790"/>
      <w:bookmarkStart w:id="114" w:name="_Toc2169"/>
      <w:bookmarkStart w:id="115" w:name="_Toc17417"/>
      <w:bookmarkStart w:id="116" w:name="_Toc25824"/>
      <w:bookmarkStart w:id="117" w:name="_Toc13323"/>
      <w:bookmarkStart w:id="118" w:name="_Toc19029"/>
      <w:bookmarkStart w:id="119" w:name="_Toc21561"/>
      <w:bookmarkStart w:id="120" w:name="_Toc12875"/>
      <w:bookmarkStart w:id="121" w:name="_Toc5081"/>
      <w:bookmarkStart w:id="122" w:name="_Toc21311"/>
      <w:bookmarkStart w:id="123" w:name="_Toc21479"/>
      <w:bookmarkStart w:id="124" w:name="_Toc20390"/>
      <w:bookmarkStart w:id="125" w:name="_Toc7432"/>
      <w:bookmarkStart w:id="126" w:name="_Toc6736"/>
      <w:bookmarkStart w:id="127" w:name="_Toc8248"/>
      <w:bookmarkStart w:id="128" w:name="_Toc17934"/>
      <w:bookmarkStart w:id="129" w:name="_Toc2576"/>
      <w:bookmarkStart w:id="130" w:name="_Toc21533"/>
      <w:bookmarkStart w:id="131" w:name="_Toc5694"/>
      <w:bookmarkStart w:id="132" w:name="_Toc879"/>
      <w:bookmarkStart w:id="133" w:name="_Toc3063"/>
      <w:bookmarkStart w:id="134" w:name="_Toc30610"/>
      <w:bookmarkStart w:id="135" w:name="_Toc24199"/>
      <w:bookmarkStart w:id="136" w:name="_Toc335"/>
      <w:r>
        <w:rPr>
          <w:rFonts w:hint="eastAsia"/>
          <w:highlight w:val="none"/>
        </w:rPr>
        <w:t>第三章　项目需求</w:t>
      </w:r>
      <w:bookmarkEnd w:id="98"/>
      <w:bookmarkEnd w:id="99"/>
      <w:bookmarkEnd w:id="100"/>
      <w:bookmarkEnd w:id="101"/>
      <w:bookmarkEnd w:id="102"/>
      <w:bookmarkEnd w:id="103"/>
      <w:bookmarkEnd w:id="104"/>
      <w:bookmarkEnd w:id="105"/>
      <w:bookmarkEnd w:id="106"/>
      <w:bookmarkEnd w:id="107"/>
      <w:bookmarkEnd w:id="108"/>
      <w:bookmarkEnd w:id="109"/>
      <w:bookmarkEnd w:id="110"/>
    </w:p>
    <w:p w14:paraId="47BFCCCB">
      <w:pPr>
        <w:pStyle w:val="2"/>
        <w:keepNext w:val="0"/>
        <w:keepLines w:val="0"/>
        <w:pageBreakBefore w:val="0"/>
        <w:widowControl w:val="0"/>
        <w:kinsoku/>
        <w:wordWrap/>
        <w:overflowPunct/>
        <w:topLinePunct w:val="0"/>
        <w:autoSpaceDE/>
        <w:autoSpaceDN/>
        <w:bidi w:val="0"/>
        <w:adjustRightInd/>
        <w:snapToGrid/>
        <w:spacing w:after="0" w:line="400" w:lineRule="exact"/>
        <w:ind w:left="0" w:leftChars="0" w:firstLine="416" w:firstLineChars="200"/>
        <w:textAlignment w:val="auto"/>
        <w:outlineLvl w:val="0"/>
        <w:rPr>
          <w:rFonts w:hint="eastAsia" w:ascii="宋体" w:hAnsi="宋体" w:eastAsia="宋体" w:cs="宋体"/>
          <w:b w:val="0"/>
          <w:bCs w:val="0"/>
          <w:spacing w:val="-1"/>
          <w:sz w:val="21"/>
          <w:szCs w:val="21"/>
          <w:highlight w:val="none"/>
          <w:lang w:eastAsia="zh-CN"/>
        </w:rPr>
      </w:pPr>
    </w:p>
    <w:tbl>
      <w:tblPr>
        <w:tblStyle w:val="42"/>
        <w:tblW w:w="8805"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100"/>
        <w:gridCol w:w="6705"/>
      </w:tblGrid>
      <w:tr w14:paraId="257259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82" w:hRule="atLeast"/>
          <w:jc w:val="center"/>
        </w:trPr>
        <w:tc>
          <w:tcPr>
            <w:tcW w:w="8805" w:type="dxa"/>
            <w:gridSpan w:val="2"/>
            <w:noWrap w:val="0"/>
            <w:vAlign w:val="center"/>
          </w:tcPr>
          <w:p w14:paraId="715C8443">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b/>
                <w:bCs/>
                <w:color w:val="auto"/>
                <w:sz w:val="21"/>
                <w:szCs w:val="21"/>
                <w:highlight w:val="none"/>
                <w:lang w:val="en-US" w:eastAsia="zh-CN"/>
              </w:rPr>
              <w:t>项目</w:t>
            </w:r>
            <w:r>
              <w:rPr>
                <w:rFonts w:hint="eastAsia" w:asciiTheme="minorEastAsia" w:hAnsiTheme="minorEastAsia" w:eastAsiaTheme="minorEastAsia" w:cstheme="minorEastAsia"/>
                <w:b/>
                <w:bCs/>
                <w:color w:val="auto"/>
                <w:sz w:val="21"/>
                <w:szCs w:val="21"/>
                <w:highlight w:val="none"/>
              </w:rPr>
              <w:t>要求</w:t>
            </w:r>
          </w:p>
        </w:tc>
      </w:tr>
      <w:tr w14:paraId="0AB3BE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8805" w:type="dxa"/>
            <w:gridSpan w:val="2"/>
            <w:noWrap w:val="0"/>
            <w:vAlign w:val="top"/>
          </w:tcPr>
          <w:p w14:paraId="52CA9637">
            <w:pPr>
              <w:pStyle w:val="18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pacing w:val="-1"/>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一、</w:t>
            </w:r>
            <w:r>
              <w:rPr>
                <w:rFonts w:hint="eastAsia" w:asciiTheme="minorEastAsia" w:hAnsiTheme="minorEastAsia" w:eastAsiaTheme="minorEastAsia" w:cstheme="minorEastAsia"/>
                <w:b/>
                <w:bCs/>
                <w:color w:val="auto"/>
                <w:sz w:val="21"/>
                <w:szCs w:val="21"/>
                <w:highlight w:val="none"/>
              </w:rPr>
              <w:t>服务要求</w:t>
            </w:r>
          </w:p>
          <w:p w14:paraId="3E688386">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1.</w:t>
            </w:r>
            <w:r>
              <w:rPr>
                <w:rFonts w:hint="eastAsia" w:asciiTheme="minorEastAsia" w:hAnsiTheme="minorEastAsia" w:eastAsiaTheme="minorEastAsia" w:cstheme="minorEastAsia"/>
                <w:b/>
                <w:color w:val="auto"/>
                <w:sz w:val="21"/>
                <w:szCs w:val="21"/>
                <w:highlight w:val="none"/>
              </w:rPr>
              <w:t>团队资质过硬</w:t>
            </w:r>
            <w:r>
              <w:rPr>
                <w:rFonts w:hint="eastAsia" w:asciiTheme="minorEastAsia" w:hAnsiTheme="minorEastAsia" w:eastAsiaTheme="minorEastAsia" w:cstheme="minorEastAsia"/>
                <w:color w:val="auto"/>
                <w:sz w:val="21"/>
                <w:szCs w:val="21"/>
                <w:highlight w:val="none"/>
              </w:rPr>
              <w:t>：供应商需组建专属项目团队，</w:t>
            </w:r>
            <w:r>
              <w:rPr>
                <w:rFonts w:hint="eastAsia" w:asciiTheme="minorEastAsia" w:hAnsiTheme="minorEastAsia" w:eastAsiaTheme="minorEastAsia" w:cstheme="minorEastAsia"/>
                <w:bCs/>
                <w:color w:val="auto"/>
                <w:sz w:val="21"/>
                <w:szCs w:val="21"/>
                <w:highlight w:val="none"/>
              </w:rPr>
              <w:t>规模不少于3人</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核心成员应具备</w:t>
            </w:r>
            <w:r>
              <w:rPr>
                <w:rFonts w:hint="eastAsia" w:asciiTheme="minorEastAsia" w:hAnsiTheme="minorEastAsia" w:eastAsiaTheme="minorEastAsia" w:cstheme="minorEastAsia"/>
                <w:color w:val="auto"/>
                <w:sz w:val="21"/>
                <w:szCs w:val="21"/>
                <w:highlight w:val="none"/>
                <w:lang w:val="en-US" w:eastAsia="zh-CN"/>
              </w:rPr>
              <w:t>3</w:t>
            </w:r>
            <w:r>
              <w:rPr>
                <w:rFonts w:hint="eastAsia" w:asciiTheme="minorEastAsia" w:hAnsiTheme="minorEastAsia" w:eastAsiaTheme="minorEastAsia" w:cstheme="minorEastAsia"/>
                <w:color w:val="auto"/>
                <w:sz w:val="21"/>
                <w:szCs w:val="21"/>
                <w:highlight w:val="none"/>
              </w:rPr>
              <w:t>年及以上金融行业洗钱风险评估、反洗钱合规咨询相关工作经验。团队负责人需具备</w:t>
            </w:r>
            <w:r>
              <w:rPr>
                <w:rFonts w:hint="eastAsia" w:asciiTheme="minorEastAsia" w:hAnsiTheme="minorEastAsia" w:eastAsiaTheme="minorEastAsia" w:cstheme="minorEastAsia"/>
                <w:color w:val="auto"/>
                <w:sz w:val="21"/>
                <w:szCs w:val="21"/>
                <w:highlight w:val="none"/>
                <w:lang w:val="en-US" w:eastAsia="zh-CN"/>
              </w:rPr>
              <w:t>5</w:t>
            </w:r>
            <w:r>
              <w:rPr>
                <w:rFonts w:hint="eastAsia" w:asciiTheme="minorEastAsia" w:hAnsiTheme="minorEastAsia" w:eastAsiaTheme="minorEastAsia" w:cstheme="minorEastAsia"/>
                <w:color w:val="auto"/>
                <w:sz w:val="21"/>
                <w:szCs w:val="21"/>
                <w:highlight w:val="none"/>
              </w:rPr>
              <w:t>年</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lang w:val="en-US" w:eastAsia="zh-CN"/>
              </w:rPr>
              <w:t>含5年）</w:t>
            </w:r>
            <w:r>
              <w:rPr>
                <w:rFonts w:hint="eastAsia" w:asciiTheme="minorEastAsia" w:hAnsiTheme="minorEastAsia" w:eastAsiaTheme="minorEastAsia" w:cstheme="minorEastAsia"/>
                <w:color w:val="auto"/>
                <w:sz w:val="21"/>
                <w:szCs w:val="21"/>
                <w:highlight w:val="none"/>
              </w:rPr>
              <w:t>以上相关领域经验，能有效统筹项目推进。</w:t>
            </w:r>
          </w:p>
          <w:p w14:paraId="7C377821">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2.</w:t>
            </w:r>
            <w:r>
              <w:rPr>
                <w:rFonts w:hint="eastAsia" w:asciiTheme="minorEastAsia" w:hAnsiTheme="minorEastAsia" w:eastAsiaTheme="minorEastAsia" w:cstheme="minorEastAsia"/>
                <w:b/>
                <w:color w:val="auto"/>
                <w:sz w:val="21"/>
                <w:szCs w:val="21"/>
                <w:highlight w:val="none"/>
              </w:rPr>
              <w:t>评估方法科学</w:t>
            </w:r>
            <w:r>
              <w:rPr>
                <w:rFonts w:hint="eastAsia" w:asciiTheme="minorEastAsia" w:hAnsiTheme="minorEastAsia" w:eastAsiaTheme="minorEastAsia" w:cstheme="minorEastAsia"/>
                <w:color w:val="auto"/>
                <w:sz w:val="21"/>
                <w:szCs w:val="21"/>
                <w:highlight w:val="none"/>
              </w:rPr>
              <w:t>：需结合</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实际业务特点，综合运用定量</w:t>
            </w:r>
            <w:r>
              <w:rPr>
                <w:rFonts w:hint="eastAsia" w:asciiTheme="minorEastAsia" w:hAnsiTheme="minorEastAsia" w:eastAsiaTheme="minorEastAsia" w:cstheme="minorEastAsia"/>
                <w:color w:val="auto"/>
                <w:sz w:val="21"/>
                <w:szCs w:val="21"/>
                <w:highlight w:val="none"/>
                <w:lang w:eastAsia="zh-CN"/>
              </w:rPr>
              <w:t>、</w:t>
            </w:r>
            <w:r>
              <w:rPr>
                <w:rFonts w:hint="eastAsia" w:asciiTheme="minorEastAsia" w:hAnsiTheme="minorEastAsia" w:eastAsiaTheme="minorEastAsia" w:cstheme="minorEastAsia"/>
                <w:color w:val="auto"/>
                <w:sz w:val="21"/>
                <w:szCs w:val="21"/>
                <w:highlight w:val="none"/>
              </w:rPr>
              <w:t>定性</w:t>
            </w:r>
            <w:r>
              <w:rPr>
                <w:rFonts w:hint="eastAsia" w:asciiTheme="minorEastAsia" w:hAnsiTheme="minorEastAsia" w:eastAsiaTheme="minorEastAsia" w:cstheme="minorEastAsia"/>
                <w:color w:val="auto"/>
                <w:sz w:val="21"/>
                <w:szCs w:val="21"/>
                <w:highlight w:val="none"/>
                <w:lang w:val="en-US" w:eastAsia="zh-CN"/>
              </w:rPr>
              <w:t>或综合评估</w:t>
            </w:r>
            <w:r>
              <w:rPr>
                <w:rFonts w:hint="eastAsia" w:asciiTheme="minorEastAsia" w:hAnsiTheme="minorEastAsia" w:eastAsiaTheme="minorEastAsia" w:cstheme="minorEastAsia"/>
                <w:color w:val="auto"/>
                <w:sz w:val="21"/>
                <w:szCs w:val="21"/>
                <w:highlight w:val="none"/>
              </w:rPr>
              <w:t>的方式，参考《中华人民共和国反洗钱法》《金融机构洗钱风险自评估指引》等最新监管要求，确保评估结果全面、真实、准确。</w:t>
            </w:r>
          </w:p>
          <w:p w14:paraId="6EDB782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3.</w:t>
            </w:r>
            <w:r>
              <w:rPr>
                <w:rFonts w:hint="eastAsia" w:asciiTheme="minorEastAsia" w:hAnsiTheme="minorEastAsia" w:eastAsiaTheme="minorEastAsia" w:cstheme="minorEastAsia"/>
                <w:b/>
                <w:color w:val="auto"/>
                <w:sz w:val="21"/>
                <w:szCs w:val="21"/>
                <w:highlight w:val="none"/>
              </w:rPr>
              <w:t>报告质量达标</w:t>
            </w:r>
            <w:r>
              <w:rPr>
                <w:rFonts w:hint="eastAsia" w:asciiTheme="minorEastAsia" w:hAnsiTheme="minorEastAsia" w:eastAsiaTheme="minorEastAsia" w:cstheme="minorEastAsia"/>
                <w:color w:val="auto"/>
                <w:sz w:val="21"/>
                <w:szCs w:val="21"/>
                <w:highlight w:val="none"/>
              </w:rPr>
              <w:t>：提交的洗钱风险自评估报告需结构完整、逻辑清晰，涵盖风险评估范围、方法、结果、风险点分析及改进建议等核心内容。建议部分需具备针对性和可操作性，能直接指导</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反洗钱工作优化。报告需经过内部审核，确保无数据错误、逻辑漏洞及表述歧义。</w:t>
            </w:r>
          </w:p>
          <w:p w14:paraId="1F0D3634">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color w:val="auto"/>
                <w:sz w:val="21"/>
                <w:szCs w:val="21"/>
                <w:highlight w:val="none"/>
                <w:lang w:val="en-US" w:eastAsia="zh-CN"/>
              </w:rPr>
              <w:t>4.</w:t>
            </w:r>
            <w:r>
              <w:rPr>
                <w:rFonts w:hint="eastAsia" w:asciiTheme="minorEastAsia" w:hAnsiTheme="minorEastAsia" w:eastAsiaTheme="minorEastAsia" w:cstheme="minorEastAsia"/>
                <w:b/>
                <w:color w:val="auto"/>
                <w:sz w:val="21"/>
                <w:szCs w:val="21"/>
                <w:highlight w:val="none"/>
              </w:rPr>
              <w:t>沟通响应及时</w:t>
            </w:r>
            <w:r>
              <w:rPr>
                <w:rFonts w:hint="eastAsia" w:asciiTheme="minorEastAsia" w:hAnsiTheme="minorEastAsia" w:eastAsiaTheme="minorEastAsia" w:cstheme="minorEastAsia"/>
                <w:color w:val="auto"/>
                <w:sz w:val="21"/>
                <w:szCs w:val="21"/>
                <w:highlight w:val="none"/>
              </w:rPr>
              <w:t>：项目实施期间，需建立定期沟通机制，每周向</w:t>
            </w:r>
            <w:r>
              <w:rPr>
                <w:rFonts w:hint="eastAsia" w:asciiTheme="minorEastAsia" w:hAnsiTheme="minorEastAsia" w:eastAsiaTheme="minorEastAsia" w:cstheme="minorEastAsia"/>
                <w:color w:val="auto"/>
                <w:sz w:val="21"/>
                <w:szCs w:val="21"/>
                <w:highlight w:val="none"/>
                <w:lang w:val="en-US" w:eastAsia="zh-CN"/>
              </w:rPr>
              <w:t>采购人</w:t>
            </w:r>
            <w:r>
              <w:rPr>
                <w:rFonts w:hint="eastAsia" w:asciiTheme="minorEastAsia" w:hAnsiTheme="minorEastAsia" w:eastAsiaTheme="minorEastAsia" w:cstheme="minorEastAsia"/>
                <w:color w:val="auto"/>
                <w:sz w:val="21"/>
                <w:szCs w:val="21"/>
                <w:highlight w:val="none"/>
              </w:rPr>
              <w:t>项目对接人</w:t>
            </w:r>
            <w:r>
              <w:rPr>
                <w:rFonts w:hint="eastAsia" w:asciiTheme="minorEastAsia" w:hAnsiTheme="minorEastAsia" w:eastAsiaTheme="minorEastAsia" w:cstheme="minorEastAsia"/>
                <w:color w:val="auto"/>
                <w:sz w:val="21"/>
                <w:szCs w:val="21"/>
                <w:highlight w:val="none"/>
                <w:lang w:val="en-US" w:eastAsia="zh-CN"/>
              </w:rPr>
              <w:t>反馈</w:t>
            </w:r>
            <w:r>
              <w:rPr>
                <w:rFonts w:hint="eastAsia" w:asciiTheme="minorEastAsia" w:hAnsiTheme="minorEastAsia" w:eastAsiaTheme="minorEastAsia" w:cstheme="minorEastAsia"/>
                <w:color w:val="auto"/>
                <w:sz w:val="21"/>
                <w:szCs w:val="21"/>
                <w:highlight w:val="none"/>
              </w:rPr>
              <w:t>进度，内容包括本周工作进展、下周计划及遇到的问题。</w:t>
            </w:r>
          </w:p>
        </w:tc>
      </w:tr>
      <w:tr w14:paraId="640CFC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54" w:hRule="atLeast"/>
          <w:jc w:val="center"/>
        </w:trPr>
        <w:tc>
          <w:tcPr>
            <w:tcW w:w="8805" w:type="dxa"/>
            <w:gridSpan w:val="2"/>
            <w:noWrap w:val="0"/>
            <w:vAlign w:val="top"/>
          </w:tcPr>
          <w:p w14:paraId="3C1CB894">
            <w:pPr>
              <w:pStyle w:val="187"/>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二、</w:t>
            </w:r>
            <w:r>
              <w:rPr>
                <w:rFonts w:hint="eastAsia" w:asciiTheme="minorEastAsia" w:hAnsiTheme="minorEastAsia" w:eastAsiaTheme="minorEastAsia" w:cstheme="minorEastAsia"/>
                <w:b/>
                <w:bCs/>
                <w:color w:val="auto"/>
                <w:sz w:val="21"/>
                <w:szCs w:val="21"/>
                <w:highlight w:val="none"/>
              </w:rPr>
              <w:t>安全要求</w:t>
            </w:r>
          </w:p>
          <w:p w14:paraId="2085B61C">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bCs/>
                <w:color w:val="auto"/>
                <w:spacing w:val="-1"/>
                <w:sz w:val="21"/>
                <w:szCs w:val="21"/>
                <w:highlight w:val="none"/>
                <w:lang w:eastAsia="zh-CN"/>
              </w:rPr>
              <w:t>★</w:t>
            </w:r>
            <w:r>
              <w:rPr>
                <w:rFonts w:hint="eastAsia" w:asciiTheme="minorEastAsia" w:hAnsiTheme="minorEastAsia" w:eastAsiaTheme="minorEastAsia" w:cstheme="minorEastAsia"/>
                <w:b/>
                <w:bCs w:val="0"/>
                <w:color w:val="auto"/>
                <w:sz w:val="21"/>
                <w:szCs w:val="21"/>
                <w:highlight w:val="none"/>
                <w:lang w:val="en-US" w:eastAsia="zh-CN"/>
              </w:rPr>
              <w:t>1.</w:t>
            </w:r>
            <w:r>
              <w:rPr>
                <w:rFonts w:hint="eastAsia" w:asciiTheme="minorEastAsia" w:hAnsiTheme="minorEastAsia" w:eastAsiaTheme="minorEastAsia" w:cstheme="minorEastAsia"/>
                <w:b/>
                <w:bCs w:val="0"/>
                <w:color w:val="auto"/>
                <w:sz w:val="21"/>
                <w:szCs w:val="21"/>
                <w:highlight w:val="none"/>
              </w:rPr>
              <w:t>数据安全保障：</w:t>
            </w:r>
            <w:r>
              <w:rPr>
                <w:rFonts w:hint="eastAsia" w:asciiTheme="minorEastAsia" w:hAnsiTheme="minorEastAsia" w:eastAsiaTheme="minorEastAsia" w:cstheme="minorEastAsia"/>
                <w:b w:val="0"/>
                <w:bCs/>
                <w:color w:val="auto"/>
                <w:sz w:val="21"/>
                <w:szCs w:val="21"/>
                <w:highlight w:val="none"/>
              </w:rPr>
              <w:t>严格遵守《中华人民共和国网络安全法》《</w:t>
            </w:r>
            <w:r>
              <w:rPr>
                <w:rFonts w:hint="eastAsia" w:asciiTheme="minorEastAsia" w:hAnsiTheme="minorEastAsia" w:eastAsiaTheme="minorEastAsia" w:cstheme="minorEastAsia"/>
                <w:b w:val="0"/>
                <w:bCs/>
                <w:color w:val="auto"/>
                <w:sz w:val="21"/>
                <w:szCs w:val="21"/>
                <w:highlight w:val="none"/>
                <w:lang w:val="en-US" w:eastAsia="zh-CN"/>
              </w:rPr>
              <w:t>中华人民共和国</w:t>
            </w:r>
            <w:r>
              <w:rPr>
                <w:rFonts w:hint="eastAsia" w:asciiTheme="minorEastAsia" w:hAnsiTheme="minorEastAsia" w:eastAsiaTheme="minorEastAsia" w:cstheme="minorEastAsia"/>
                <w:b w:val="0"/>
                <w:bCs/>
                <w:color w:val="auto"/>
                <w:sz w:val="21"/>
                <w:szCs w:val="21"/>
                <w:highlight w:val="none"/>
              </w:rPr>
              <w:t>数据安全法》《</w:t>
            </w:r>
            <w:r>
              <w:rPr>
                <w:rFonts w:hint="eastAsia" w:asciiTheme="minorEastAsia" w:hAnsiTheme="minorEastAsia" w:eastAsiaTheme="minorEastAsia" w:cstheme="minorEastAsia"/>
                <w:b w:val="0"/>
                <w:bCs/>
                <w:color w:val="auto"/>
                <w:sz w:val="21"/>
                <w:szCs w:val="21"/>
                <w:highlight w:val="none"/>
                <w:lang w:val="en-US" w:eastAsia="zh-CN"/>
              </w:rPr>
              <w:t>中华人民共和国</w:t>
            </w:r>
            <w:r>
              <w:rPr>
                <w:rFonts w:hint="eastAsia" w:asciiTheme="minorEastAsia" w:hAnsiTheme="minorEastAsia" w:eastAsiaTheme="minorEastAsia" w:cstheme="minorEastAsia"/>
                <w:b w:val="0"/>
                <w:bCs/>
                <w:color w:val="auto"/>
                <w:sz w:val="21"/>
                <w:szCs w:val="21"/>
                <w:highlight w:val="none"/>
              </w:rPr>
              <w:t>个人信息保护法》等法律法规，对</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提供的客户信息、交易数据、业务流程、内部制度等敏感信息承担保密责任。</w:t>
            </w:r>
          </w:p>
          <w:p w14:paraId="7373CA8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2.</w:t>
            </w:r>
            <w:r>
              <w:rPr>
                <w:rFonts w:hint="eastAsia" w:asciiTheme="minorEastAsia" w:hAnsiTheme="minorEastAsia" w:eastAsiaTheme="minorEastAsia" w:cstheme="minorEastAsia"/>
                <w:b/>
                <w:bCs w:val="0"/>
                <w:color w:val="auto"/>
                <w:sz w:val="21"/>
                <w:szCs w:val="21"/>
                <w:highlight w:val="none"/>
              </w:rPr>
              <w:t>数据管理规范：</w:t>
            </w:r>
            <w:r>
              <w:rPr>
                <w:rFonts w:hint="eastAsia" w:asciiTheme="minorEastAsia" w:hAnsiTheme="minorEastAsia" w:eastAsiaTheme="minorEastAsia" w:cstheme="minorEastAsia"/>
                <w:b w:val="0"/>
                <w:bCs/>
                <w:color w:val="auto"/>
                <w:sz w:val="21"/>
                <w:szCs w:val="21"/>
                <w:highlight w:val="none"/>
              </w:rPr>
              <w:t>接收的</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数据需存储在专用加密服务器，仅授权项目核心成员访问。数据传输过程中需采用加密传输方式，避免数据泄露。项目结束后，需根据</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要求，将所有纸质资料销毁（提供销毁证明）、电子数据永久删除或归还</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，不得留存任何副本。</w:t>
            </w:r>
          </w:p>
          <w:p w14:paraId="4894CC9D">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3.</w:t>
            </w:r>
            <w:r>
              <w:rPr>
                <w:rFonts w:hint="eastAsia" w:asciiTheme="minorEastAsia" w:hAnsiTheme="minorEastAsia" w:eastAsiaTheme="minorEastAsia" w:cstheme="minorEastAsia"/>
                <w:b/>
                <w:bCs w:val="0"/>
                <w:color w:val="auto"/>
                <w:sz w:val="21"/>
                <w:szCs w:val="21"/>
                <w:highlight w:val="none"/>
              </w:rPr>
              <w:t>系统安全可控：</w:t>
            </w:r>
            <w:r>
              <w:rPr>
                <w:rFonts w:hint="eastAsia" w:asciiTheme="minorEastAsia" w:hAnsiTheme="minorEastAsia" w:eastAsiaTheme="minorEastAsia" w:cstheme="minorEastAsia"/>
                <w:b w:val="0"/>
                <w:bCs/>
                <w:color w:val="auto"/>
                <w:sz w:val="21"/>
                <w:szCs w:val="21"/>
                <w:highlight w:val="none"/>
              </w:rPr>
              <w:t>若供应商需使用自有系统或工具开展评估工作，需提前向</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提供系统安全检测报告，证明其系统具备防病毒、防入侵等安全防护能力。未经</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书面许可，不得将</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数据接入第三方系统或平台。</w:t>
            </w:r>
          </w:p>
          <w:p w14:paraId="7CAC1C18">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4.</w:t>
            </w:r>
            <w:r>
              <w:rPr>
                <w:rFonts w:hint="eastAsia" w:asciiTheme="minorEastAsia" w:hAnsiTheme="minorEastAsia" w:eastAsiaTheme="minorEastAsia" w:cstheme="minorEastAsia"/>
                <w:b/>
                <w:bCs w:val="0"/>
                <w:color w:val="auto"/>
                <w:sz w:val="21"/>
                <w:szCs w:val="21"/>
                <w:highlight w:val="none"/>
              </w:rPr>
              <w:t>人员安全管理：</w:t>
            </w:r>
            <w:r>
              <w:rPr>
                <w:rFonts w:hint="eastAsia" w:asciiTheme="minorEastAsia" w:hAnsiTheme="minorEastAsia" w:eastAsiaTheme="minorEastAsia" w:cstheme="minorEastAsia"/>
                <w:b w:val="0"/>
                <w:bCs/>
                <w:color w:val="auto"/>
                <w:sz w:val="21"/>
                <w:szCs w:val="21"/>
                <w:highlight w:val="none"/>
              </w:rPr>
              <w:t>应遵循</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外包管理制度，若出现人员变动，需按合同规定时限提前告知</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，经</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sz w:val="21"/>
                <w:szCs w:val="21"/>
                <w:highlight w:val="none"/>
              </w:rPr>
              <w:t>同意后方可变更。</w:t>
            </w:r>
          </w:p>
        </w:tc>
      </w:tr>
      <w:tr w14:paraId="7D070ED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05" w:type="dxa"/>
            <w:gridSpan w:val="2"/>
            <w:noWrap w:val="0"/>
            <w:vAlign w:val="top"/>
          </w:tcPr>
          <w:p w14:paraId="5079ECEC">
            <w:pPr>
              <w:pStyle w:val="19"/>
              <w:keepNext w:val="0"/>
              <w:keepLines w:val="0"/>
              <w:pageBreakBefore w:val="0"/>
              <w:widowControl w:val="0"/>
              <w:numPr>
                <w:ilvl w:val="0"/>
                <w:numId w:val="0"/>
              </w:numPr>
              <w:kinsoku/>
              <w:wordWrap/>
              <w:overflowPunct/>
              <w:topLinePunct w:val="0"/>
              <w:autoSpaceDE/>
              <w:autoSpaceDN/>
              <w:bidi w:val="0"/>
              <w:adjustRightInd/>
              <w:snapToGrid/>
              <w:spacing w:line="400" w:lineRule="exact"/>
              <w:ind w:leftChars="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z w:val="21"/>
                <w:szCs w:val="21"/>
                <w:highlight w:val="none"/>
                <w:lang w:val="en-US" w:eastAsia="zh-CN"/>
              </w:rPr>
              <w:t>三、需实现的功能或者目标</w:t>
            </w:r>
          </w:p>
          <w:p w14:paraId="713B6318">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通过本次自评估，全面识别采购人在洗钱风险防控方面的薄弱环节，提出具有可操作性的风险管控改进建议，帮助采购人完善反洗钱内部控制体系，提升反洗钱合规管理水平，确保符合监管要求。协助采购人于2026年4月20日前结合采购人实际情况制定洗钱风险自评估制度和自评估指标，同时出具采购人认可及符合监管要求的，且具有真实性、合法性、完整性、公允性的自评估报告。</w:t>
            </w:r>
          </w:p>
        </w:tc>
      </w:tr>
      <w:tr w14:paraId="3FCCB2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805" w:type="dxa"/>
            <w:gridSpan w:val="2"/>
            <w:noWrap w:val="0"/>
            <w:vAlign w:val="top"/>
          </w:tcPr>
          <w:p w14:paraId="550E5D49">
            <w:pPr>
              <w:pStyle w:val="15"/>
              <w:keepNext w:val="0"/>
              <w:keepLines w:val="0"/>
              <w:pageBreakBefore w:val="0"/>
              <w:widowControl w:val="0"/>
              <w:kinsoku/>
              <w:wordWrap/>
              <w:overflowPunct/>
              <w:topLinePunct w:val="0"/>
              <w:autoSpaceDE/>
              <w:autoSpaceDN/>
              <w:bidi w:val="0"/>
              <w:adjustRightInd/>
              <w:snapToGrid/>
              <w:spacing w:line="400" w:lineRule="exact"/>
              <w:ind w:left="0" w:leftChars="0" w:firstLine="0" w:firstLineChars="0"/>
              <w:textAlignment w:val="auto"/>
              <w:rPr>
                <w:rFonts w:hint="eastAsia" w:asciiTheme="minorEastAsia" w:hAnsiTheme="minorEastAsia" w:eastAsiaTheme="minorEastAsia" w:cstheme="minorEastAsia"/>
                <w:b/>
                <w:bCs/>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lang w:eastAsia="zh-CN"/>
              </w:rPr>
              <w:t>★</w:t>
            </w:r>
            <w:r>
              <w:rPr>
                <w:rFonts w:hint="eastAsia" w:asciiTheme="minorEastAsia" w:hAnsiTheme="minorEastAsia" w:eastAsiaTheme="minorEastAsia" w:cstheme="minorEastAsia"/>
                <w:b/>
                <w:bCs/>
                <w:color w:val="auto"/>
                <w:sz w:val="21"/>
                <w:szCs w:val="21"/>
                <w:highlight w:val="none"/>
                <w:lang w:val="en-US" w:eastAsia="zh-CN"/>
              </w:rPr>
              <w:t>四、服务期限、服务标准</w:t>
            </w:r>
          </w:p>
          <w:p w14:paraId="2FF9BC10">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1.服务期限：</w:t>
            </w:r>
            <w:r>
              <w:rPr>
                <w:rFonts w:hint="eastAsia" w:asciiTheme="minorEastAsia" w:hAnsiTheme="minorEastAsia" w:eastAsiaTheme="minorEastAsia" w:cstheme="minorEastAsia"/>
                <w:b w:val="0"/>
                <w:bCs/>
                <w:color w:val="auto"/>
                <w:sz w:val="21"/>
                <w:szCs w:val="21"/>
                <w:highlight w:val="none"/>
                <w:lang w:val="en-US" w:eastAsia="zh-CN"/>
              </w:rPr>
              <w:t>自合同签订之日起，至项目成果通过采购人最终验收止，总服务期限预计为12-16周。若因监管要求原因导致项目延期，服务期限可相应顺延，供应商需配合。</w:t>
            </w:r>
          </w:p>
          <w:p w14:paraId="3546D1F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2.服务标准：</w:t>
            </w:r>
            <w:r>
              <w:rPr>
                <w:rFonts w:hint="eastAsia" w:asciiTheme="minorEastAsia" w:hAnsiTheme="minorEastAsia" w:eastAsiaTheme="minorEastAsia" w:cstheme="minorEastAsia"/>
                <w:b w:val="0"/>
                <w:bCs/>
                <w:color w:val="auto"/>
                <w:sz w:val="21"/>
                <w:szCs w:val="21"/>
                <w:highlight w:val="none"/>
                <w:lang w:val="en-US" w:eastAsia="zh-CN"/>
              </w:rPr>
              <w:t>严格按照项目实施方案推进工作，确保各阶段工作按时完成。</w:t>
            </w:r>
          </w:p>
        </w:tc>
      </w:tr>
      <w:tr w14:paraId="40B88FF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2"/>
            <w:tcBorders>
              <w:top w:val="single" w:color="auto" w:sz="4" w:space="0"/>
              <w:left w:val="single" w:color="auto" w:sz="4" w:space="0"/>
              <w:bottom w:val="single" w:color="auto" w:sz="4" w:space="0"/>
              <w:right w:val="single" w:color="auto" w:sz="4" w:space="0"/>
            </w:tcBorders>
            <w:noWrap w:val="0"/>
            <w:vAlign w:val="top"/>
          </w:tcPr>
          <w:p w14:paraId="50CF527F">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lang w:val="en-US" w:eastAsia="zh-CN"/>
              </w:rPr>
              <w:t>五、</w:t>
            </w:r>
            <w:r>
              <w:rPr>
                <w:rFonts w:hint="eastAsia" w:asciiTheme="minorEastAsia" w:hAnsiTheme="minorEastAsia" w:eastAsiaTheme="minorEastAsia" w:cstheme="minorEastAsia"/>
                <w:b/>
                <w:color w:val="auto"/>
                <w:sz w:val="21"/>
                <w:szCs w:val="21"/>
                <w:highlight w:val="none"/>
              </w:rPr>
              <w:t>商务要求</w:t>
            </w:r>
          </w:p>
        </w:tc>
      </w:tr>
      <w:tr w14:paraId="514AA9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2100" w:type="dxa"/>
            <w:tcBorders>
              <w:top w:val="single" w:color="auto" w:sz="4" w:space="0"/>
              <w:left w:val="single" w:color="auto" w:sz="4" w:space="0"/>
              <w:bottom w:val="single" w:color="auto" w:sz="4" w:space="0"/>
              <w:right w:val="single" w:color="auto" w:sz="4" w:space="0"/>
            </w:tcBorders>
            <w:noWrap w:val="0"/>
            <w:vAlign w:val="center"/>
          </w:tcPr>
          <w:p w14:paraId="16A3B0CE">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bCs/>
                <w:color w:val="auto"/>
                <w:sz w:val="21"/>
                <w:szCs w:val="21"/>
                <w:highlight w:val="none"/>
              </w:rPr>
            </w:pPr>
            <w:r>
              <w:rPr>
                <w:rFonts w:hint="eastAsia" w:asciiTheme="minorEastAsia" w:hAnsiTheme="minorEastAsia" w:eastAsiaTheme="minorEastAsia" w:cstheme="minorEastAsia"/>
                <w:b/>
                <w:bCs/>
                <w:color w:val="auto"/>
                <w:sz w:val="21"/>
                <w:szCs w:val="21"/>
                <w:highlight w:val="none"/>
              </w:rPr>
              <w:t>交付（实施）的时间（期限）和地点（范围）</w:t>
            </w:r>
          </w:p>
        </w:tc>
        <w:tc>
          <w:tcPr>
            <w:tcW w:w="6705" w:type="dxa"/>
            <w:tcBorders>
              <w:top w:val="single" w:color="auto" w:sz="4" w:space="0"/>
              <w:left w:val="single" w:color="auto" w:sz="4" w:space="0"/>
              <w:bottom w:val="single" w:color="auto" w:sz="4" w:space="0"/>
              <w:right w:val="single" w:color="auto" w:sz="4" w:space="0"/>
            </w:tcBorders>
            <w:noWrap w:val="0"/>
            <w:vAlign w:val="center"/>
          </w:tcPr>
          <w:p w14:paraId="6413D2C5">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bCs/>
                <w:color w:val="auto"/>
                <w:spacing w:val="-1"/>
                <w:sz w:val="21"/>
                <w:szCs w:val="21"/>
                <w:highlight w:val="none"/>
                <w:lang w:eastAsia="zh-CN"/>
              </w:rPr>
              <w:t>★</w:t>
            </w:r>
            <w:r>
              <w:rPr>
                <w:rFonts w:hint="eastAsia" w:asciiTheme="minorEastAsia" w:hAnsiTheme="minorEastAsia" w:eastAsiaTheme="minorEastAsia" w:cstheme="minorEastAsia"/>
                <w:b/>
                <w:bCs w:val="0"/>
                <w:color w:val="auto"/>
                <w:sz w:val="21"/>
                <w:szCs w:val="21"/>
                <w:highlight w:val="none"/>
                <w:lang w:val="en-US" w:eastAsia="zh-CN"/>
              </w:rPr>
              <w:t>交付时间（期限）：</w:t>
            </w:r>
            <w:r>
              <w:rPr>
                <w:rFonts w:hint="eastAsia" w:asciiTheme="minorEastAsia" w:hAnsiTheme="minorEastAsia" w:eastAsiaTheme="minorEastAsia" w:cstheme="minorEastAsia"/>
                <w:b w:val="0"/>
                <w:bCs/>
                <w:color w:val="auto"/>
                <w:sz w:val="21"/>
                <w:szCs w:val="21"/>
                <w:highlight w:val="none"/>
                <w:lang w:val="en-US" w:eastAsia="zh-CN"/>
              </w:rPr>
              <w:t>自合同签订之日起12-16周内完成所有项目工作并通过验收。供应商需在响应文件中明确各阶段的具体时间节点，若未按时交付成果，需按照合同约定承担违约责任。</w:t>
            </w:r>
          </w:p>
          <w:p w14:paraId="031728AF">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交付地点（范围）：</w:t>
            </w:r>
            <w:r>
              <w:rPr>
                <w:rFonts w:hint="eastAsia" w:asciiTheme="minorEastAsia" w:hAnsiTheme="minorEastAsia" w:eastAsiaTheme="minorEastAsia" w:cstheme="minorEastAsia"/>
                <w:b w:val="0"/>
                <w:bCs/>
                <w:color w:val="auto"/>
                <w:sz w:val="21"/>
                <w:szCs w:val="21"/>
                <w:highlight w:val="none"/>
                <w:lang w:val="en-US" w:eastAsia="zh-CN"/>
              </w:rPr>
              <w:t>项目实施地点为采购人指定地点（包括总行及相关分支机构，具体由采购人根据项目需求提前通知）。</w:t>
            </w:r>
          </w:p>
          <w:p w14:paraId="6725ACAE">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color w:val="auto"/>
                <w:spacing w:val="-1"/>
                <w:sz w:val="21"/>
                <w:szCs w:val="21"/>
                <w:highlight w:val="none"/>
                <w:lang w:eastAsia="zh-CN"/>
              </w:rPr>
              <w:t>★</w:t>
            </w:r>
            <w:r>
              <w:rPr>
                <w:rFonts w:hint="eastAsia" w:asciiTheme="minorEastAsia" w:hAnsiTheme="minorEastAsia" w:eastAsiaTheme="minorEastAsia" w:cstheme="minorEastAsia"/>
                <w:b/>
                <w:bCs w:val="0"/>
                <w:color w:val="auto"/>
                <w:sz w:val="21"/>
                <w:szCs w:val="21"/>
                <w:highlight w:val="none"/>
                <w:lang w:val="en-US" w:eastAsia="zh-CN"/>
              </w:rPr>
              <w:t>交付成果</w:t>
            </w:r>
            <w:r>
              <w:rPr>
                <w:rFonts w:hint="eastAsia" w:asciiTheme="minorEastAsia" w:hAnsiTheme="minorEastAsia" w:eastAsiaTheme="minorEastAsia" w:cstheme="minorEastAsia"/>
                <w:b w:val="0"/>
                <w:bCs/>
                <w:color w:val="auto"/>
                <w:sz w:val="21"/>
                <w:szCs w:val="21"/>
                <w:highlight w:val="none"/>
                <w:lang w:val="en-US" w:eastAsia="zh-CN"/>
              </w:rPr>
              <w:t>：包括但不限于《项目实施方案》《桂林银行洗钱风险自评估报告》、评估过程中形成的原始数据、工作底稿及培训资料等。</w:t>
            </w:r>
          </w:p>
        </w:tc>
      </w:tr>
      <w:tr w14:paraId="4D9CFAF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38" w:hRule="atLeast"/>
          <w:jc w:val="center"/>
        </w:trPr>
        <w:tc>
          <w:tcPr>
            <w:tcW w:w="2100" w:type="dxa"/>
            <w:tcBorders>
              <w:top w:val="single" w:color="auto" w:sz="4" w:space="0"/>
              <w:left w:val="single" w:color="auto" w:sz="4" w:space="0"/>
              <w:bottom w:val="single" w:color="auto" w:sz="4" w:space="0"/>
              <w:right w:val="single" w:color="auto" w:sz="4" w:space="0"/>
            </w:tcBorders>
            <w:noWrap w:val="0"/>
            <w:vAlign w:val="center"/>
          </w:tcPr>
          <w:p w14:paraId="5675CAD1">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
                <w:color w:val="auto"/>
                <w:sz w:val="21"/>
                <w:szCs w:val="21"/>
                <w:highlight w:val="none"/>
              </w:rPr>
            </w:pPr>
            <w:r>
              <w:rPr>
                <w:rFonts w:hint="eastAsia" w:asciiTheme="minorEastAsia" w:hAnsiTheme="minorEastAsia" w:eastAsiaTheme="minorEastAsia" w:cstheme="minorEastAsia"/>
                <w:b/>
                <w:bCs/>
                <w:color w:val="auto"/>
                <w:sz w:val="21"/>
                <w:szCs w:val="21"/>
                <w:highlight w:val="none"/>
              </w:rPr>
              <w:t>售后服务</w:t>
            </w:r>
          </w:p>
        </w:tc>
        <w:tc>
          <w:tcPr>
            <w:tcW w:w="6705" w:type="dxa"/>
            <w:tcBorders>
              <w:top w:val="single" w:color="auto" w:sz="4" w:space="0"/>
              <w:left w:val="single" w:color="auto" w:sz="4" w:space="0"/>
              <w:bottom w:val="single" w:color="auto" w:sz="4" w:space="0"/>
              <w:right w:val="single" w:color="auto" w:sz="4" w:space="0"/>
            </w:tcBorders>
            <w:noWrap w:val="0"/>
            <w:vAlign w:val="center"/>
          </w:tcPr>
          <w:p w14:paraId="6F10F211">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1.对评估报告内容进行解读，解答采购人在报告使用过程中遇到的疑问；</w:t>
            </w:r>
          </w:p>
          <w:p w14:paraId="1B383279">
            <w:pPr>
              <w:keepNext w:val="0"/>
              <w:keepLines w:val="0"/>
              <w:pageBreakBefore w:val="0"/>
              <w:widowControl w:val="0"/>
              <w:kinsoku/>
              <w:wordWrap/>
              <w:overflowPunct/>
              <w:topLinePunct w:val="0"/>
              <w:autoSpaceDE/>
              <w:autoSpaceDN/>
              <w:bidi w:val="0"/>
              <w:adjustRightInd/>
              <w:snapToGrid/>
              <w:spacing w:line="400" w:lineRule="exact"/>
              <w:ind w:left="0"/>
              <w:jc w:val="lef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val="0"/>
                <w:bCs/>
                <w:color w:val="auto"/>
                <w:sz w:val="21"/>
                <w:szCs w:val="21"/>
                <w:highlight w:val="none"/>
                <w:lang w:val="en-US" w:eastAsia="zh-CN"/>
              </w:rPr>
              <w:t>2.若监管对采购人报出报告提出修改意见，需结合监管意见及采购人实际情况调整报告内容。</w:t>
            </w:r>
          </w:p>
        </w:tc>
      </w:tr>
      <w:tr w14:paraId="7AD4AFB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2"/>
            <w:tcBorders>
              <w:top w:val="single" w:color="auto" w:sz="4" w:space="0"/>
              <w:left w:val="single" w:color="auto" w:sz="4" w:space="0"/>
              <w:bottom w:val="single" w:color="auto" w:sz="4" w:space="0"/>
              <w:right w:val="single" w:color="auto" w:sz="4" w:space="0"/>
            </w:tcBorders>
            <w:noWrap w:val="0"/>
            <w:vAlign w:val="center"/>
          </w:tcPr>
          <w:p w14:paraId="3DA1C5D9">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bCs/>
                <w:color w:val="auto"/>
                <w:sz w:val="21"/>
                <w:szCs w:val="21"/>
                <w:highlight w:val="none"/>
                <w:lang w:val="en-US" w:eastAsia="zh-CN"/>
              </w:rPr>
              <w:t>六、</w:t>
            </w:r>
            <w:r>
              <w:rPr>
                <w:rFonts w:hint="eastAsia" w:asciiTheme="minorEastAsia" w:hAnsiTheme="minorEastAsia" w:eastAsiaTheme="minorEastAsia" w:cstheme="minorEastAsia"/>
                <w:b/>
                <w:bCs/>
                <w:color w:val="auto"/>
                <w:sz w:val="21"/>
                <w:szCs w:val="21"/>
                <w:highlight w:val="none"/>
              </w:rPr>
              <w:t>与实现项目目标相关的其他要求</w:t>
            </w:r>
          </w:p>
        </w:tc>
      </w:tr>
      <w:tr w14:paraId="4293456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2"/>
            <w:tcBorders>
              <w:top w:val="single" w:color="auto" w:sz="4" w:space="0"/>
              <w:left w:val="single" w:color="auto" w:sz="4" w:space="0"/>
              <w:bottom w:val="single" w:color="auto" w:sz="4" w:space="0"/>
              <w:right w:val="single" w:color="auto" w:sz="4" w:space="0"/>
            </w:tcBorders>
            <w:noWrap w:val="0"/>
            <w:vAlign w:val="center"/>
          </w:tcPr>
          <w:p w14:paraId="439E88D2">
            <w:pPr>
              <w:keepNext w:val="0"/>
              <w:keepLines w:val="0"/>
              <w:pageBreakBefore w:val="0"/>
              <w:widowControl w:val="0"/>
              <w:tabs>
                <w:tab w:val="left" w:pos="180"/>
                <w:tab w:val="left" w:pos="1620"/>
              </w:tabs>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val="en-US" w:eastAsia="zh-CN"/>
              </w:rPr>
              <w:t>一</w:t>
            </w:r>
            <w:r>
              <w:rPr>
                <w:rFonts w:hint="eastAsia" w:asciiTheme="minorEastAsia" w:hAnsiTheme="minorEastAsia" w:eastAsiaTheme="minorEastAsia" w:cstheme="minorEastAsia"/>
                <w:b/>
                <w:color w:val="auto"/>
                <w:sz w:val="21"/>
                <w:szCs w:val="21"/>
                <w:highlight w:val="none"/>
              </w:rPr>
              <w:t>）验收标准</w:t>
            </w:r>
          </w:p>
        </w:tc>
      </w:tr>
      <w:tr w14:paraId="56E932A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2"/>
            <w:tcBorders>
              <w:top w:val="single" w:color="auto" w:sz="4" w:space="0"/>
              <w:left w:val="single" w:color="auto" w:sz="4" w:space="0"/>
              <w:bottom w:val="single" w:color="auto" w:sz="4" w:space="0"/>
              <w:right w:val="single" w:color="auto" w:sz="4" w:space="0"/>
            </w:tcBorders>
            <w:noWrap w:val="0"/>
            <w:vAlign w:val="center"/>
          </w:tcPr>
          <w:p w14:paraId="78CF584E">
            <w:pPr>
              <w:keepNext w:val="0"/>
              <w:keepLines w:val="0"/>
              <w:pageBreakBefore w:val="0"/>
              <w:widowControl w:val="0"/>
              <w:numPr>
                <w:ilvl w:val="0"/>
                <w:numId w:val="0"/>
              </w:numPr>
              <w:kinsoku/>
              <w:wordWrap/>
              <w:overflowPunct/>
              <w:topLinePunct w:val="0"/>
              <w:autoSpaceDE/>
              <w:autoSpaceDN/>
              <w:bidi w:val="0"/>
              <w:adjustRightInd/>
              <w:snapToGrid/>
              <w:spacing w:line="400" w:lineRule="exact"/>
              <w:ind w:firstLine="420" w:firstLineChars="200"/>
              <w:jc w:val="left"/>
              <w:textAlignment w:val="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根据项目要求，供应商应派遣专业人员到采购人指定现场梳理、构建洗钱风险自评估框架、方法论和工作流程，协助采购人于2026年4月20日前结合采购人实际情况制定洗钱风险自评估制度和自评估指标，同时出具采购人认可及符合监管要求的，且具有真实性、合法性、完整性、公允性的自评估报告。</w:t>
            </w:r>
          </w:p>
        </w:tc>
      </w:tr>
      <w:tr w14:paraId="00AD8F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2"/>
            <w:tcBorders>
              <w:top w:val="single" w:color="auto" w:sz="4" w:space="0"/>
              <w:left w:val="single" w:color="auto" w:sz="4" w:space="0"/>
              <w:bottom w:val="single" w:color="auto" w:sz="4" w:space="0"/>
              <w:right w:val="single" w:color="auto" w:sz="4" w:space="0"/>
            </w:tcBorders>
            <w:noWrap w:val="0"/>
            <w:vAlign w:val="center"/>
          </w:tcPr>
          <w:p w14:paraId="3B69EC14">
            <w:pPr>
              <w:keepNext w:val="0"/>
              <w:keepLines w:val="0"/>
              <w:pageBreakBefore w:val="0"/>
              <w:widowControl w:val="0"/>
              <w:kinsoku/>
              <w:wordWrap/>
              <w:overflowPunct/>
              <w:topLinePunct w:val="0"/>
              <w:autoSpaceDE/>
              <w:autoSpaceDN/>
              <w:bidi w:val="0"/>
              <w:adjustRightInd/>
              <w:snapToGrid/>
              <w:spacing w:line="400" w:lineRule="exac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b/>
                <w:color w:val="auto"/>
                <w:sz w:val="21"/>
                <w:szCs w:val="21"/>
                <w:highlight w:val="none"/>
              </w:rPr>
              <w:t>（</w:t>
            </w:r>
            <w:r>
              <w:rPr>
                <w:rFonts w:hint="eastAsia" w:asciiTheme="minorEastAsia" w:hAnsiTheme="minorEastAsia" w:eastAsiaTheme="minorEastAsia" w:cstheme="minorEastAsia"/>
                <w:b/>
                <w:color w:val="auto"/>
                <w:sz w:val="21"/>
                <w:szCs w:val="21"/>
                <w:highlight w:val="none"/>
                <w:lang w:val="en-US" w:eastAsia="zh-CN"/>
              </w:rPr>
              <w:t>二</w:t>
            </w:r>
            <w:r>
              <w:rPr>
                <w:rFonts w:hint="eastAsia" w:asciiTheme="minorEastAsia" w:hAnsiTheme="minorEastAsia" w:eastAsiaTheme="minorEastAsia" w:cstheme="minorEastAsia"/>
                <w:b/>
                <w:color w:val="auto"/>
                <w:sz w:val="21"/>
                <w:szCs w:val="21"/>
                <w:highlight w:val="none"/>
              </w:rPr>
              <w:t>）其他要求</w:t>
            </w:r>
          </w:p>
        </w:tc>
      </w:tr>
      <w:tr w14:paraId="3CB869C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jc w:val="center"/>
        </w:trPr>
        <w:tc>
          <w:tcPr>
            <w:tcW w:w="8805" w:type="dxa"/>
            <w:gridSpan w:val="2"/>
            <w:tcBorders>
              <w:top w:val="single" w:color="auto" w:sz="4" w:space="0"/>
              <w:left w:val="single" w:color="auto" w:sz="4" w:space="0"/>
              <w:bottom w:val="single" w:color="auto" w:sz="4" w:space="0"/>
              <w:right w:val="single" w:color="auto" w:sz="4" w:space="0"/>
            </w:tcBorders>
            <w:noWrap w:val="0"/>
            <w:vAlign w:val="center"/>
          </w:tcPr>
          <w:p w14:paraId="013D9599">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 w:val="0"/>
                <w:bCs/>
                <w:color w:val="auto"/>
                <w:sz w:val="21"/>
                <w:szCs w:val="21"/>
                <w:highlight w:val="none"/>
                <w:lang w:val="en-US" w:eastAsia="zh-CN"/>
              </w:rPr>
            </w:pPr>
            <w:r>
              <w:rPr>
                <w:rFonts w:hint="eastAsia" w:asciiTheme="minorEastAsia" w:hAnsiTheme="minorEastAsia" w:eastAsiaTheme="minorEastAsia" w:cstheme="minorEastAsia"/>
                <w:b/>
                <w:bCs w:val="0"/>
                <w:color w:val="auto"/>
                <w:sz w:val="21"/>
                <w:szCs w:val="21"/>
                <w:highlight w:val="none"/>
                <w:lang w:val="en-US" w:eastAsia="zh-CN"/>
              </w:rPr>
              <w:t>1.项目沟通机制：</w:t>
            </w:r>
            <w:r>
              <w:rPr>
                <w:rFonts w:hint="eastAsia" w:asciiTheme="minorEastAsia" w:hAnsiTheme="minorEastAsia" w:eastAsiaTheme="minorEastAsia" w:cstheme="minorEastAsia"/>
                <w:b w:val="0"/>
                <w:bCs/>
                <w:color w:val="auto"/>
                <w:sz w:val="21"/>
                <w:szCs w:val="21"/>
                <w:highlight w:val="none"/>
                <w:lang w:val="en-US" w:eastAsia="zh-CN"/>
              </w:rPr>
              <w:t>建立“项目负责人+日常对接人”的双重沟通机制，双方各指定1名项目负责人和1名日常对接人，负责项目整体协调和日常沟通工作。每周召开1次项目进度例会，复盘工作进展，解决存在的问题。</w:t>
            </w:r>
          </w:p>
          <w:p w14:paraId="3AAB0BC4">
            <w:pPr>
              <w:numPr>
                <w:ilvl w:val="0"/>
                <w:numId w:val="0"/>
              </w:numPr>
              <w:jc w:val="left"/>
              <w:rPr>
                <w:rFonts w:hint="eastAsia" w:asciiTheme="minorEastAsia" w:hAnsiTheme="minorEastAsia" w:eastAsiaTheme="minorEastAsia" w:cstheme="minorEastAsia"/>
                <w:b w:val="0"/>
                <w:bCs/>
                <w:color w:val="auto"/>
                <w:kern w:val="2"/>
                <w:sz w:val="21"/>
                <w:szCs w:val="21"/>
                <w:highlight w:val="none"/>
                <w:lang w:val="en-US" w:eastAsia="zh-CN" w:bidi="ar-SA"/>
              </w:rPr>
            </w:pPr>
            <w:r>
              <w:rPr>
                <w:rFonts w:hint="eastAsia" w:asciiTheme="minorEastAsia" w:hAnsiTheme="minorEastAsia" w:eastAsiaTheme="minorEastAsia" w:cstheme="minorEastAsia"/>
                <w:b/>
                <w:bCs w:val="0"/>
                <w:color w:val="auto"/>
                <w:sz w:val="21"/>
                <w:szCs w:val="21"/>
                <w:highlight w:val="none"/>
                <w:lang w:val="en-US" w:eastAsia="zh-CN"/>
              </w:rPr>
              <w:t>2.培训要求：</w:t>
            </w:r>
            <w:r>
              <w:rPr>
                <w:rFonts w:hint="eastAsia" w:asciiTheme="minorEastAsia" w:hAnsiTheme="minorEastAsia" w:eastAsiaTheme="minorEastAsia" w:cstheme="minorEastAsia"/>
                <w:b w:val="0"/>
                <w:bCs/>
                <w:color w:val="auto"/>
                <w:kern w:val="2"/>
                <w:sz w:val="21"/>
                <w:szCs w:val="21"/>
                <w:highlight w:val="none"/>
                <w:lang w:val="en-US" w:eastAsia="zh-CN" w:bidi="ar-SA"/>
              </w:rPr>
              <w:t>制定洗钱风险自评估培训方案，组织</w:t>
            </w:r>
            <w:r>
              <w:rPr>
                <w:rFonts w:hint="eastAsia" w:asciiTheme="minorEastAsia" w:hAnsiTheme="minorEastAsia" w:eastAsiaTheme="minorEastAsia" w:cstheme="minorEastAsia"/>
                <w:b w:val="0"/>
                <w:bCs/>
                <w:color w:val="auto"/>
                <w:sz w:val="21"/>
                <w:szCs w:val="21"/>
                <w:highlight w:val="none"/>
                <w:lang w:val="en-US" w:eastAsia="zh-CN"/>
              </w:rPr>
              <w:t>采购人</w:t>
            </w:r>
            <w:r>
              <w:rPr>
                <w:rFonts w:hint="eastAsia" w:asciiTheme="minorEastAsia" w:hAnsiTheme="minorEastAsia" w:eastAsiaTheme="minorEastAsia" w:cstheme="minorEastAsia"/>
                <w:b w:val="0"/>
                <w:bCs/>
                <w:color w:val="auto"/>
                <w:kern w:val="2"/>
                <w:sz w:val="21"/>
                <w:szCs w:val="21"/>
                <w:highlight w:val="none"/>
                <w:lang w:val="en-US" w:eastAsia="zh-CN" w:bidi="ar-SA"/>
              </w:rPr>
              <w:t>相关人员开展培训。培训内容应涵盖项目背景、操作流程及风险防控等核心内容。</w:t>
            </w:r>
          </w:p>
          <w:p w14:paraId="335C8BF3">
            <w:pPr>
              <w:keepNext w:val="0"/>
              <w:keepLines w:val="0"/>
              <w:pageBreakBefore w:val="0"/>
              <w:widowControl w:val="0"/>
              <w:numPr>
                <w:ilvl w:val="0"/>
                <w:numId w:val="0"/>
              </w:numPr>
              <w:kinsoku/>
              <w:wordWrap/>
              <w:overflowPunct/>
              <w:topLinePunct w:val="0"/>
              <w:autoSpaceDE/>
              <w:autoSpaceDN/>
              <w:bidi w:val="0"/>
              <w:adjustRightInd/>
              <w:snapToGrid/>
              <w:spacing w:line="400" w:lineRule="exact"/>
              <w:jc w:val="left"/>
              <w:textAlignment w:val="auto"/>
              <w:rPr>
                <w:rFonts w:hint="eastAsia" w:asciiTheme="minorEastAsia" w:hAnsiTheme="minorEastAsia" w:eastAsiaTheme="minorEastAsia" w:cstheme="minorEastAsia"/>
                <w:bCs/>
                <w:color w:val="auto"/>
                <w:sz w:val="21"/>
                <w:szCs w:val="21"/>
                <w:highlight w:val="none"/>
              </w:rPr>
            </w:pPr>
            <w:r>
              <w:rPr>
                <w:rFonts w:hint="eastAsia" w:asciiTheme="minorEastAsia" w:hAnsiTheme="minorEastAsia" w:eastAsiaTheme="minorEastAsia" w:cstheme="minorEastAsia"/>
                <w:b/>
                <w:bCs w:val="0"/>
                <w:color w:val="auto"/>
                <w:sz w:val="21"/>
                <w:szCs w:val="21"/>
                <w:highlight w:val="none"/>
                <w:lang w:val="en-US" w:eastAsia="zh-CN"/>
              </w:rPr>
              <w:t>3.</w:t>
            </w:r>
            <w:r>
              <w:rPr>
                <w:rFonts w:hint="eastAsia" w:asciiTheme="minorEastAsia" w:hAnsiTheme="minorEastAsia" w:eastAsiaTheme="minorEastAsia" w:cstheme="minorEastAsia"/>
                <w:b w:val="0"/>
                <w:bCs/>
                <w:color w:val="auto"/>
                <w:sz w:val="21"/>
                <w:szCs w:val="21"/>
                <w:highlight w:val="none"/>
                <w:lang w:val="en-US" w:eastAsia="zh-CN"/>
              </w:rPr>
              <w:t>本项目需求文档未尽事宜，由双方在合同谈判过程中进一步明确，最终以双方签订的正式合同为准。</w:t>
            </w:r>
          </w:p>
        </w:tc>
      </w:tr>
    </w:tbl>
    <w:p w14:paraId="68591734">
      <w:pPr>
        <w:pageBreakBefore w:val="0"/>
        <w:widowControl w:val="0"/>
        <w:kinsoku/>
        <w:wordWrap/>
        <w:overflowPunct/>
        <w:topLinePunct w:val="0"/>
        <w:autoSpaceDE/>
        <w:autoSpaceDN/>
        <w:bidi w:val="0"/>
        <w:adjustRightInd/>
        <w:snapToGrid/>
        <w:spacing w:line="400" w:lineRule="exact"/>
        <w:ind w:leftChars="0" w:firstLine="420" w:firstLineChars="200"/>
        <w:textAlignment w:val="auto"/>
        <w:rPr>
          <w:rFonts w:hint="eastAsia" w:ascii="宋体" w:hAnsi="宋体" w:eastAsia="宋体" w:cs="宋体"/>
          <w:highlight w:val="none"/>
          <w:lang w:eastAsia="zh-CN"/>
        </w:rPr>
      </w:pPr>
    </w:p>
    <w:p w14:paraId="5CBCE1A5">
      <w:pPr>
        <w:pStyle w:val="2"/>
        <w:rPr>
          <w:rFonts w:hint="eastAsia"/>
          <w:highlight w:val="none"/>
          <w:lang w:eastAsia="zh-CN"/>
        </w:rPr>
      </w:pPr>
    </w:p>
    <w:p w14:paraId="6DE99413">
      <w:pPr>
        <w:keepNext w:val="0"/>
        <w:keepLines w:val="0"/>
        <w:pageBreakBefore w:val="0"/>
        <w:widowControl w:val="0"/>
        <w:kinsoku/>
        <w:wordWrap/>
        <w:overflowPunct/>
        <w:topLinePunct w:val="0"/>
        <w:autoSpaceDE/>
        <w:autoSpaceDN/>
        <w:bidi w:val="0"/>
        <w:adjustRightInd/>
        <w:snapToGrid/>
        <w:spacing w:line="400" w:lineRule="exact"/>
        <w:ind w:leftChars="0" w:firstLine="418" w:firstLineChars="200"/>
        <w:textAlignment w:val="auto"/>
        <w:rPr>
          <w:rFonts w:hint="eastAsia" w:ascii="宋体" w:hAnsi="宋体" w:eastAsia="宋体" w:cs="宋体"/>
          <w:b/>
          <w:bCs/>
          <w:spacing w:val="-1"/>
          <w:highlight w:val="none"/>
        </w:rPr>
      </w:pPr>
      <w:r>
        <w:rPr>
          <w:rFonts w:hint="eastAsia" w:ascii="宋体" w:hAnsi="宋体" w:eastAsia="宋体" w:cs="宋体"/>
          <w:b/>
          <w:bCs/>
          <w:spacing w:val="-1"/>
          <w:sz w:val="21"/>
          <w:szCs w:val="21"/>
          <w:highlight w:val="none"/>
        </w:rPr>
        <w:t>注：</w:t>
      </w:r>
      <w:r>
        <w:rPr>
          <w:rFonts w:hint="eastAsia" w:ascii="宋体" w:hAnsi="宋体" w:eastAsia="宋体" w:cs="宋体"/>
          <w:b/>
          <w:bCs/>
          <w:spacing w:val="-1"/>
          <w:sz w:val="21"/>
          <w:szCs w:val="21"/>
          <w:highlight w:val="none"/>
          <w:lang w:val="en-US" w:eastAsia="zh-CN"/>
        </w:rPr>
        <w:t>本项目采购需求</w:t>
      </w:r>
      <w:r>
        <w:rPr>
          <w:rFonts w:hint="eastAsia" w:ascii="宋体" w:hAnsi="宋体" w:eastAsia="宋体" w:cs="宋体"/>
          <w:b/>
          <w:bCs/>
          <w:spacing w:val="-1"/>
          <w:sz w:val="21"/>
          <w:szCs w:val="21"/>
          <w:highlight w:val="none"/>
        </w:rPr>
        <w:t>中所有标注</w:t>
      </w:r>
      <w:r>
        <w:rPr>
          <w:rFonts w:hint="eastAsia" w:ascii="宋体" w:hAnsi="宋体" w:eastAsia="宋体" w:cs="宋体"/>
          <w:b/>
          <w:bCs/>
          <w:spacing w:val="-1"/>
          <w:sz w:val="21"/>
          <w:szCs w:val="21"/>
          <w:highlight w:val="none"/>
          <w:lang w:eastAsia="zh-CN"/>
        </w:rPr>
        <w:t>★</w:t>
      </w:r>
      <w:r>
        <w:rPr>
          <w:rFonts w:hint="eastAsia" w:ascii="宋体" w:hAnsi="宋体" w:eastAsia="宋体" w:cs="宋体"/>
          <w:b/>
          <w:bCs/>
          <w:spacing w:val="-1"/>
          <w:sz w:val="21"/>
          <w:szCs w:val="21"/>
          <w:highlight w:val="none"/>
        </w:rPr>
        <w:t>号的条款，不允许负偏离，否则</w:t>
      </w:r>
      <w:r>
        <w:rPr>
          <w:rFonts w:hint="eastAsia" w:ascii="宋体" w:hAnsi="宋体" w:eastAsia="宋体" w:cs="宋体"/>
          <w:b/>
          <w:bCs/>
          <w:spacing w:val="-1"/>
          <w:sz w:val="21"/>
          <w:szCs w:val="21"/>
          <w:highlight w:val="none"/>
          <w:lang w:val="en-US" w:eastAsia="zh-CN"/>
        </w:rPr>
        <w:t>竞标</w:t>
      </w:r>
      <w:r>
        <w:rPr>
          <w:rFonts w:hint="eastAsia" w:ascii="宋体" w:hAnsi="宋体" w:eastAsia="宋体" w:cs="宋体"/>
          <w:b/>
          <w:bCs/>
          <w:spacing w:val="-1"/>
          <w:sz w:val="21"/>
          <w:szCs w:val="21"/>
          <w:highlight w:val="none"/>
        </w:rPr>
        <w:t>将被否决</w:t>
      </w:r>
      <w:r>
        <w:rPr>
          <w:rFonts w:hint="eastAsia" w:ascii="宋体" w:hAnsi="宋体" w:eastAsia="宋体" w:cs="宋体"/>
          <w:b/>
          <w:bCs/>
          <w:spacing w:val="-1"/>
          <w:highlight w:val="none"/>
        </w:rPr>
        <w:t>。</w:t>
      </w:r>
    </w:p>
    <w:p w14:paraId="7E95BCBB">
      <w:pPr>
        <w:pStyle w:val="36"/>
        <w:keepNext w:val="0"/>
        <w:keepLines w:val="0"/>
        <w:pageBreakBefore w:val="0"/>
        <w:widowControl w:val="0"/>
        <w:kinsoku/>
        <w:wordWrap/>
        <w:overflowPunct/>
        <w:topLinePunct w:val="0"/>
        <w:autoSpaceDE/>
        <w:autoSpaceDN/>
        <w:bidi w:val="0"/>
        <w:adjustRightInd/>
        <w:snapToGrid/>
        <w:spacing w:after="0" w:line="400" w:lineRule="exact"/>
        <w:ind w:leftChars="0" w:firstLine="422" w:firstLineChars="200"/>
        <w:textAlignment w:val="auto"/>
        <w:rPr>
          <w:rFonts w:hint="eastAsia" w:ascii="宋体" w:hAnsi="宋体" w:eastAsia="宋体" w:cs="宋体"/>
          <w:b w:val="0"/>
          <w:bCs w:val="0"/>
          <w:spacing w:val="-1"/>
          <w:kern w:val="2"/>
          <w:sz w:val="21"/>
          <w:szCs w:val="21"/>
          <w:highlight w:val="none"/>
          <w:lang w:val="en-US" w:eastAsia="zh-CN" w:bidi="ar-SA"/>
        </w:rPr>
      </w:pPr>
      <w:r>
        <w:rPr>
          <w:rFonts w:hint="eastAsia" w:ascii="宋体" w:hAnsi="宋体" w:eastAsia="宋体" w:cs="宋体"/>
          <w:b/>
          <w:bCs/>
          <w:sz w:val="21"/>
          <w:szCs w:val="21"/>
          <w:highlight w:val="none"/>
        </w:rPr>
        <w:t>磋商内容：本项目所有内容均可磋商。</w:t>
      </w:r>
    </w:p>
    <w:bookmarkEnd w:id="111"/>
    <w:p w14:paraId="6A94A64D">
      <w:pPr>
        <w:keepNext w:val="0"/>
        <w:keepLines w:val="0"/>
        <w:pageBreakBefore w:val="0"/>
        <w:widowControl w:val="0"/>
        <w:kinsoku/>
        <w:wordWrap/>
        <w:overflowPunct/>
        <w:topLinePunct w:val="0"/>
        <w:autoSpaceDE/>
        <w:autoSpaceDN/>
        <w:bidi w:val="0"/>
        <w:adjustRightInd/>
        <w:snapToGrid/>
        <w:spacing w:line="400" w:lineRule="exact"/>
        <w:ind w:leftChars="0" w:firstLine="420" w:firstLineChars="200"/>
        <w:textAlignment w:val="auto"/>
        <w:rPr>
          <w:rFonts w:hint="eastAsia" w:ascii="宋体" w:hAnsi="宋体" w:eastAsia="宋体" w:cs="宋体"/>
          <w:highlight w:val="none"/>
        </w:rPr>
        <w:sectPr>
          <w:headerReference r:id="rId8" w:type="default"/>
          <w:footerReference r:id="rId9" w:type="default"/>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2EB6E20">
      <w:pPr>
        <w:pStyle w:val="2"/>
        <w:rPr>
          <w:b/>
          <w:bCs/>
          <w:highlight w:val="none"/>
        </w:rPr>
      </w:pPr>
      <w:r>
        <w:rPr>
          <w:b/>
          <w:bCs/>
          <w:highlight w:val="none"/>
        </w:rPr>
        <w:t>履约评价表</w:t>
      </w:r>
    </w:p>
    <w:p w14:paraId="3BDF2DE2">
      <w:pPr>
        <w:rPr>
          <w:highlight w:val="none"/>
        </w:rPr>
      </w:pPr>
    </w:p>
    <w:tbl>
      <w:tblPr>
        <w:tblStyle w:val="42"/>
        <w:tblW w:w="8928" w:type="dxa"/>
        <w:jc w:val="center"/>
        <w:tblLayout w:type="fixed"/>
        <w:tblCellMar>
          <w:top w:w="0" w:type="dxa"/>
          <w:left w:w="108" w:type="dxa"/>
          <w:bottom w:w="0" w:type="dxa"/>
          <w:right w:w="108" w:type="dxa"/>
        </w:tblCellMar>
      </w:tblPr>
      <w:tblGrid>
        <w:gridCol w:w="683"/>
        <w:gridCol w:w="869"/>
        <w:gridCol w:w="310"/>
        <w:gridCol w:w="795"/>
        <w:gridCol w:w="5352"/>
        <w:gridCol w:w="919"/>
      </w:tblGrid>
      <w:tr w14:paraId="27465426">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0E6EF1C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项目名称</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460BEE5D">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桂林银行采购洗钱风险自评估咨询项目</w:t>
            </w:r>
          </w:p>
        </w:tc>
      </w:tr>
      <w:tr w14:paraId="791CA7D3">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67CBE14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单位名称</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2E95281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color w:val="auto"/>
                <w:sz w:val="21"/>
                <w:szCs w:val="21"/>
                <w:highlight w:val="none"/>
                <w:lang w:val="en-US" w:eastAsia="zh-CN"/>
              </w:rPr>
            </w:pPr>
          </w:p>
        </w:tc>
      </w:tr>
      <w:tr w14:paraId="156F9778">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0"/>
            <w:vAlign w:val="center"/>
          </w:tcPr>
          <w:p w14:paraId="395CF63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评价描述（根据测试人员对规章制度的执行情况、服务期间的工作任务完成情况、服务质量等多方面进行综合评定</w:t>
            </w:r>
            <w:r>
              <w:rPr>
                <w:rStyle w:val="85"/>
                <w:rFonts w:hint="eastAsia" w:ascii="宋体" w:hAnsi="宋体" w:eastAsia="宋体" w:cs="宋体"/>
                <w:color w:val="auto"/>
                <w:sz w:val="21"/>
                <w:szCs w:val="21"/>
                <w:highlight w:val="none"/>
                <w:lang w:bidi="ar"/>
              </w:rPr>
              <w:t>）</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3178E225">
            <w:pPr>
              <w:keepNext w:val="0"/>
              <w:keepLines w:val="0"/>
              <w:pageBreakBefore w:val="0"/>
              <w:widowControl/>
              <w:kinsoku/>
              <w:wordWrap/>
              <w:overflowPunct/>
              <w:topLinePunct w:val="0"/>
              <w:autoSpaceDE/>
              <w:autoSpaceDN/>
              <w:bidi w:val="0"/>
              <w:adjustRightInd/>
              <w:snapToGrid/>
              <w:spacing w:line="400" w:lineRule="exact"/>
              <w:ind w:firstLine="0" w:firstLineChars="0"/>
              <w:jc w:val="both"/>
              <w:rPr>
                <w:rFonts w:hint="eastAsia" w:ascii="宋体" w:hAnsi="宋体" w:eastAsia="宋体" w:cs="宋体"/>
                <w:color w:val="auto"/>
                <w:sz w:val="21"/>
                <w:szCs w:val="21"/>
                <w:highlight w:val="none"/>
                <w:lang w:val="en-US" w:eastAsia="zh-CN"/>
              </w:rPr>
            </w:pPr>
          </w:p>
        </w:tc>
      </w:tr>
      <w:tr w14:paraId="5E330670">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6AB7D92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评价结果</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2A01C39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color w:val="auto"/>
                <w:sz w:val="21"/>
                <w:szCs w:val="21"/>
                <w:highlight w:val="none"/>
              </w:rPr>
            </w:pPr>
          </w:p>
        </w:tc>
      </w:tr>
      <w:tr w14:paraId="57A1B337">
        <w:tblPrEx>
          <w:tblCellMar>
            <w:top w:w="0" w:type="dxa"/>
            <w:left w:w="108" w:type="dxa"/>
            <w:bottom w:w="0" w:type="dxa"/>
            <w:right w:w="108" w:type="dxa"/>
          </w:tblCellMar>
        </w:tblPrEx>
        <w:trPr>
          <w:trHeight w:val="454" w:hRule="atLeast"/>
          <w:jc w:val="center"/>
        </w:trPr>
        <w:tc>
          <w:tcPr>
            <w:tcW w:w="1552" w:type="dxa"/>
            <w:gridSpan w:val="2"/>
            <w:tcBorders>
              <w:top w:val="single" w:color="000000" w:sz="4" w:space="0"/>
              <w:left w:val="single" w:color="000000" w:sz="4" w:space="0"/>
              <w:bottom w:val="single" w:color="000000" w:sz="4" w:space="0"/>
              <w:right w:val="single" w:color="000000" w:sz="4" w:space="0"/>
            </w:tcBorders>
            <w:noWrap/>
            <w:vAlign w:val="center"/>
          </w:tcPr>
          <w:p w14:paraId="0FCAE0B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备注</w:t>
            </w:r>
          </w:p>
        </w:tc>
        <w:tc>
          <w:tcPr>
            <w:tcW w:w="7376" w:type="dxa"/>
            <w:gridSpan w:val="4"/>
            <w:tcBorders>
              <w:top w:val="single" w:color="000000" w:sz="4" w:space="0"/>
              <w:left w:val="single" w:color="000000" w:sz="4" w:space="0"/>
              <w:bottom w:val="single" w:color="000000" w:sz="4" w:space="0"/>
              <w:right w:val="single" w:color="000000" w:sz="4" w:space="0"/>
            </w:tcBorders>
            <w:noWrap/>
            <w:vAlign w:val="center"/>
          </w:tcPr>
          <w:p w14:paraId="2E64461B">
            <w:pPr>
              <w:keepNext w:val="0"/>
              <w:keepLines w:val="0"/>
              <w:pageBreakBefore w:val="0"/>
              <w:widowControl/>
              <w:kinsoku/>
              <w:wordWrap/>
              <w:overflowPunct/>
              <w:topLinePunct w:val="0"/>
              <w:autoSpaceDE/>
              <w:autoSpaceDN/>
              <w:bidi w:val="0"/>
              <w:adjustRightInd/>
              <w:snapToGrid/>
              <w:spacing w:line="400" w:lineRule="exact"/>
              <w:ind w:firstLine="0" w:firstLineChars="0"/>
              <w:jc w:val="center"/>
              <w:rPr>
                <w:rFonts w:hint="eastAsia" w:ascii="宋体" w:hAnsi="宋体" w:eastAsia="宋体" w:cs="宋体"/>
                <w:color w:val="auto"/>
                <w:sz w:val="21"/>
                <w:szCs w:val="21"/>
                <w:highlight w:val="none"/>
              </w:rPr>
            </w:pPr>
          </w:p>
        </w:tc>
      </w:tr>
      <w:tr w14:paraId="61892B15">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47E6631A">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评分档次划分：</w:t>
            </w:r>
          </w:p>
        </w:tc>
      </w:tr>
      <w:tr w14:paraId="5561AFD2">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0"/>
            <w:vAlign w:val="center"/>
          </w:tcPr>
          <w:p w14:paraId="0D2B0B1A">
            <w:pPr>
              <w:keepNext w:val="0"/>
              <w:keepLines w:val="0"/>
              <w:pageBreakBefore w:val="0"/>
              <w:widowControl/>
              <w:kinsoku/>
              <w:wordWrap/>
              <w:overflowPunct/>
              <w:topLinePunct w:val="0"/>
              <w:autoSpaceDE/>
              <w:autoSpaceDN/>
              <w:bidi w:val="0"/>
              <w:adjustRightInd/>
              <w:snapToGrid/>
              <w:spacing w:line="400" w:lineRule="exact"/>
              <w:ind w:firstLine="0" w:firstLineChars="0"/>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考核标准分优秀（90分及以上）、良好（80分及以上、90以下）、一般（60分及以上、80分以下）、不合格（60分以下）四个等级</w:t>
            </w:r>
          </w:p>
        </w:tc>
      </w:tr>
      <w:tr w14:paraId="7DC96959">
        <w:tblPrEx>
          <w:tblCellMar>
            <w:top w:w="0" w:type="dxa"/>
            <w:left w:w="108" w:type="dxa"/>
            <w:bottom w:w="0" w:type="dxa"/>
            <w:right w:w="108" w:type="dxa"/>
          </w:tblCellMar>
        </w:tblPrEx>
        <w:trPr>
          <w:trHeight w:val="454" w:hRule="atLeast"/>
          <w:jc w:val="center"/>
        </w:trPr>
        <w:tc>
          <w:tcPr>
            <w:tcW w:w="8928" w:type="dxa"/>
            <w:gridSpan w:val="6"/>
            <w:tcBorders>
              <w:top w:val="single" w:color="000000" w:sz="4" w:space="0"/>
              <w:left w:val="single" w:color="000000" w:sz="4" w:space="0"/>
              <w:bottom w:val="single" w:color="000000" w:sz="4" w:space="0"/>
              <w:right w:val="single" w:color="000000" w:sz="4" w:space="0"/>
            </w:tcBorders>
            <w:noWrap/>
            <w:vAlign w:val="center"/>
          </w:tcPr>
          <w:p w14:paraId="754383C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lang w:bidi="ar"/>
              </w:rPr>
              <w:t>履约评价指引细则</w:t>
            </w:r>
          </w:p>
        </w:tc>
      </w:tr>
      <w:tr w14:paraId="56F4D8CE">
        <w:tblPrEx>
          <w:tblCellMar>
            <w:top w:w="0" w:type="dxa"/>
            <w:left w:w="108" w:type="dxa"/>
            <w:bottom w:w="0" w:type="dxa"/>
            <w:right w:w="108" w:type="dxa"/>
          </w:tblCellMar>
        </w:tblPrEx>
        <w:trPr>
          <w:trHeight w:val="296"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35141FDC">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序号</w:t>
            </w:r>
          </w:p>
        </w:tc>
        <w:tc>
          <w:tcPr>
            <w:tcW w:w="1179" w:type="dxa"/>
            <w:gridSpan w:val="2"/>
            <w:tcBorders>
              <w:top w:val="single" w:color="000000" w:sz="4" w:space="0"/>
              <w:left w:val="single" w:color="000000" w:sz="4" w:space="0"/>
              <w:bottom w:val="single" w:color="000000" w:sz="4" w:space="0"/>
              <w:right w:val="single" w:color="000000" w:sz="4" w:space="0"/>
            </w:tcBorders>
            <w:noWrap w:val="0"/>
            <w:vAlign w:val="center"/>
          </w:tcPr>
          <w:p w14:paraId="1C2922A7">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分项内容</w:t>
            </w:r>
          </w:p>
        </w:tc>
        <w:tc>
          <w:tcPr>
            <w:tcW w:w="795" w:type="dxa"/>
            <w:tcBorders>
              <w:top w:val="single" w:color="000000" w:sz="4" w:space="0"/>
              <w:left w:val="single" w:color="000000" w:sz="4" w:space="0"/>
              <w:bottom w:val="single" w:color="000000" w:sz="4" w:space="0"/>
              <w:right w:val="single" w:color="000000" w:sz="4" w:space="0"/>
            </w:tcBorders>
            <w:noWrap w:val="0"/>
            <w:vAlign w:val="center"/>
          </w:tcPr>
          <w:p w14:paraId="4E206280">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满分分值</w:t>
            </w:r>
          </w:p>
        </w:tc>
        <w:tc>
          <w:tcPr>
            <w:tcW w:w="5352" w:type="dxa"/>
            <w:tcBorders>
              <w:top w:val="single" w:color="000000" w:sz="4" w:space="0"/>
              <w:left w:val="single" w:color="000000" w:sz="4" w:space="0"/>
              <w:bottom w:val="single" w:color="000000" w:sz="4" w:space="0"/>
              <w:right w:val="single" w:color="000000" w:sz="4" w:space="0"/>
            </w:tcBorders>
            <w:noWrap w:val="0"/>
            <w:vAlign w:val="center"/>
          </w:tcPr>
          <w:p w14:paraId="2CDDF53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评价标准</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1451CE5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bidi="ar"/>
              </w:rPr>
              <w:t>评价得分</w:t>
            </w:r>
          </w:p>
        </w:tc>
      </w:tr>
      <w:tr w14:paraId="603A0AE4">
        <w:tblPrEx>
          <w:tblCellMar>
            <w:top w:w="0" w:type="dxa"/>
            <w:left w:w="108" w:type="dxa"/>
            <w:bottom w:w="0" w:type="dxa"/>
            <w:right w:w="108" w:type="dxa"/>
          </w:tblCellMar>
        </w:tblPrEx>
        <w:trPr>
          <w:trHeight w:val="459"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1821F822">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1</w:t>
            </w:r>
          </w:p>
        </w:tc>
        <w:tc>
          <w:tcPr>
            <w:tcW w:w="1179" w:type="dxa"/>
            <w:gridSpan w:val="2"/>
            <w:tcBorders>
              <w:top w:val="single" w:color="000000" w:sz="4" w:space="0"/>
              <w:left w:val="single" w:color="000000" w:sz="4" w:space="0"/>
              <w:bottom w:val="single" w:color="000000" w:sz="4" w:space="0"/>
              <w:right w:val="single" w:color="000000" w:sz="4" w:space="0"/>
            </w:tcBorders>
            <w:noWrap w:val="0"/>
            <w:vAlign w:val="center"/>
          </w:tcPr>
          <w:p w14:paraId="4814280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派遣专业人员</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512F5884">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20</w:t>
            </w:r>
          </w:p>
        </w:tc>
        <w:tc>
          <w:tcPr>
            <w:tcW w:w="5352" w:type="dxa"/>
            <w:tcBorders>
              <w:top w:val="single" w:color="000000" w:sz="4" w:space="0"/>
              <w:left w:val="single" w:color="000000" w:sz="4" w:space="0"/>
              <w:bottom w:val="single" w:color="000000" w:sz="4" w:space="0"/>
              <w:right w:val="single" w:color="000000" w:sz="4" w:space="0"/>
            </w:tcBorders>
            <w:noWrap w:val="0"/>
            <w:vAlign w:val="center"/>
          </w:tcPr>
          <w:p w14:paraId="28EB1EE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派遣专业人员到采购人指定场所开展工作。</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690876AA">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color w:val="auto"/>
                <w:sz w:val="21"/>
                <w:szCs w:val="21"/>
                <w:highlight w:val="none"/>
                <w:vertAlign w:val="baseline"/>
                <w:lang w:val="en-US" w:eastAsia="zh-CN"/>
              </w:rPr>
            </w:pPr>
          </w:p>
        </w:tc>
      </w:tr>
      <w:tr w14:paraId="47929863">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B054A0F">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2</w:t>
            </w:r>
          </w:p>
        </w:tc>
        <w:tc>
          <w:tcPr>
            <w:tcW w:w="1179" w:type="dxa"/>
            <w:gridSpan w:val="2"/>
            <w:tcBorders>
              <w:top w:val="single" w:color="000000" w:sz="4" w:space="0"/>
              <w:left w:val="single" w:color="000000" w:sz="4" w:space="0"/>
              <w:bottom w:val="single" w:color="000000" w:sz="4" w:space="0"/>
              <w:right w:val="single" w:color="000000" w:sz="4" w:space="0"/>
            </w:tcBorders>
            <w:noWrap w:val="0"/>
            <w:vAlign w:val="center"/>
          </w:tcPr>
          <w:p w14:paraId="3130D709">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服务时限要求</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28A04073">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20</w:t>
            </w:r>
          </w:p>
        </w:tc>
        <w:tc>
          <w:tcPr>
            <w:tcW w:w="5352" w:type="dxa"/>
            <w:tcBorders>
              <w:top w:val="single" w:color="000000" w:sz="4" w:space="0"/>
              <w:left w:val="single" w:color="000000" w:sz="4" w:space="0"/>
              <w:bottom w:val="single" w:color="000000" w:sz="4" w:space="0"/>
              <w:right w:val="single" w:color="000000" w:sz="4" w:space="0"/>
            </w:tcBorders>
            <w:noWrap w:val="0"/>
            <w:vAlign w:val="center"/>
          </w:tcPr>
          <w:p w14:paraId="0E909B2B">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高效地为采购人洗钱风险自评估的咨询项目落地。</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6FD48705">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color w:val="auto"/>
                <w:sz w:val="21"/>
                <w:szCs w:val="21"/>
                <w:highlight w:val="none"/>
                <w:vertAlign w:val="baseline"/>
                <w:lang w:val="en-US" w:eastAsia="zh-CN"/>
              </w:rPr>
            </w:pPr>
          </w:p>
        </w:tc>
      </w:tr>
      <w:tr w14:paraId="511F20EF">
        <w:tblPrEx>
          <w:tblCellMar>
            <w:top w:w="0" w:type="dxa"/>
            <w:left w:w="108" w:type="dxa"/>
            <w:bottom w:w="0" w:type="dxa"/>
            <w:right w:w="108" w:type="dxa"/>
          </w:tblCellMar>
        </w:tblPrEx>
        <w:trPr>
          <w:trHeight w:val="454" w:hRule="atLeast"/>
          <w:jc w:val="center"/>
        </w:trPr>
        <w:tc>
          <w:tcPr>
            <w:tcW w:w="683" w:type="dxa"/>
            <w:tcBorders>
              <w:top w:val="single" w:color="000000" w:sz="4" w:space="0"/>
              <w:left w:val="single" w:color="000000" w:sz="4" w:space="0"/>
              <w:bottom w:val="single" w:color="000000" w:sz="4" w:space="0"/>
              <w:right w:val="single" w:color="000000" w:sz="4" w:space="0"/>
            </w:tcBorders>
            <w:noWrap/>
            <w:vAlign w:val="center"/>
          </w:tcPr>
          <w:p w14:paraId="5793BF68">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bidi="ar"/>
              </w:rPr>
              <w:t>3</w:t>
            </w:r>
          </w:p>
        </w:tc>
        <w:tc>
          <w:tcPr>
            <w:tcW w:w="1179" w:type="dxa"/>
            <w:gridSpan w:val="2"/>
            <w:tcBorders>
              <w:top w:val="single" w:color="000000" w:sz="4" w:space="0"/>
              <w:left w:val="single" w:color="000000" w:sz="4" w:space="0"/>
              <w:bottom w:val="single" w:color="000000" w:sz="4" w:space="0"/>
              <w:right w:val="single" w:color="000000" w:sz="4" w:space="0"/>
            </w:tcBorders>
            <w:noWrap w:val="0"/>
            <w:vAlign w:val="center"/>
          </w:tcPr>
          <w:p w14:paraId="1A5E4706">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服务质量</w:t>
            </w:r>
          </w:p>
        </w:tc>
        <w:tc>
          <w:tcPr>
            <w:tcW w:w="795" w:type="dxa"/>
            <w:tcBorders>
              <w:top w:val="single" w:color="000000" w:sz="4" w:space="0"/>
              <w:left w:val="single" w:color="000000" w:sz="4" w:space="0"/>
              <w:bottom w:val="single" w:color="000000" w:sz="4" w:space="0"/>
              <w:right w:val="single" w:color="000000" w:sz="4" w:space="0"/>
            </w:tcBorders>
            <w:noWrap/>
            <w:vAlign w:val="center"/>
          </w:tcPr>
          <w:p w14:paraId="3F595155">
            <w:pPr>
              <w:keepNext w:val="0"/>
              <w:keepLines w:val="0"/>
              <w:pageBreakBefore w:val="0"/>
              <w:widowControl/>
              <w:kinsoku/>
              <w:wordWrap/>
              <w:overflowPunct/>
              <w:topLinePunct w:val="0"/>
              <w:autoSpaceDE/>
              <w:autoSpaceDN/>
              <w:bidi w:val="0"/>
              <w:adjustRightInd/>
              <w:snapToGrid/>
              <w:spacing w:line="400" w:lineRule="exact"/>
              <w:ind w:firstLine="0" w:firstLineChars="0"/>
              <w:jc w:val="center"/>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60</w:t>
            </w:r>
          </w:p>
        </w:tc>
        <w:tc>
          <w:tcPr>
            <w:tcW w:w="5352" w:type="dxa"/>
            <w:tcBorders>
              <w:top w:val="single" w:color="000000" w:sz="4" w:space="0"/>
              <w:left w:val="single" w:color="000000" w:sz="4" w:space="0"/>
              <w:bottom w:val="single" w:color="000000" w:sz="4" w:space="0"/>
              <w:right w:val="single" w:color="000000" w:sz="4" w:space="0"/>
            </w:tcBorders>
            <w:noWrap w:val="0"/>
            <w:vAlign w:val="center"/>
          </w:tcPr>
          <w:p w14:paraId="3086E920">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b w:val="0"/>
                <w:bCs/>
                <w:color w:val="auto"/>
                <w:sz w:val="21"/>
                <w:szCs w:val="21"/>
                <w:highlight w:val="none"/>
                <w:lang w:val="en-US" w:eastAsia="zh-CN"/>
              </w:rPr>
            </w:pPr>
            <w:r>
              <w:rPr>
                <w:rFonts w:hint="eastAsia" w:ascii="宋体" w:hAnsi="宋体" w:eastAsia="宋体" w:cs="宋体"/>
                <w:b w:val="0"/>
                <w:bCs/>
                <w:color w:val="auto"/>
                <w:sz w:val="21"/>
                <w:szCs w:val="21"/>
                <w:highlight w:val="none"/>
                <w:lang w:val="en-US" w:eastAsia="zh-CN"/>
              </w:rPr>
              <w:t>严格按照监管要求，协助采购人于2026年4月20日前结合采购人实际情况制定洗钱风险自评估制度和自评估指标，同时出具采购人认可及符合监管要求的，且具有真实性、合法性、完整性、公允性的自评估报告。</w:t>
            </w:r>
          </w:p>
        </w:tc>
        <w:tc>
          <w:tcPr>
            <w:tcW w:w="919" w:type="dxa"/>
            <w:tcBorders>
              <w:top w:val="single" w:color="000000" w:sz="4" w:space="0"/>
              <w:left w:val="single" w:color="000000" w:sz="4" w:space="0"/>
              <w:bottom w:val="single" w:color="000000" w:sz="4" w:space="0"/>
              <w:right w:val="single" w:color="000000" w:sz="4" w:space="0"/>
            </w:tcBorders>
            <w:noWrap/>
            <w:vAlign w:val="center"/>
          </w:tcPr>
          <w:p w14:paraId="23E57853">
            <w:pPr>
              <w:keepNext w:val="0"/>
              <w:keepLines w:val="0"/>
              <w:pageBreakBefore w:val="0"/>
              <w:widowControl/>
              <w:kinsoku/>
              <w:wordWrap/>
              <w:overflowPunct/>
              <w:topLinePunct w:val="0"/>
              <w:autoSpaceDE/>
              <w:autoSpaceDN/>
              <w:bidi w:val="0"/>
              <w:adjustRightInd/>
              <w:snapToGrid/>
              <w:spacing w:line="400" w:lineRule="exact"/>
              <w:ind w:firstLine="0" w:firstLineChars="0"/>
              <w:jc w:val="left"/>
              <w:textAlignment w:val="center"/>
              <w:rPr>
                <w:rFonts w:hint="eastAsia" w:ascii="宋体" w:hAnsi="宋体" w:eastAsia="宋体" w:cs="宋体"/>
                <w:color w:val="auto"/>
                <w:sz w:val="21"/>
                <w:szCs w:val="21"/>
                <w:highlight w:val="none"/>
                <w:vertAlign w:val="baseline"/>
                <w:lang w:val="en-US" w:eastAsia="zh-CN"/>
              </w:rPr>
            </w:pPr>
          </w:p>
        </w:tc>
      </w:tr>
    </w:tbl>
    <w:p w14:paraId="68DBE385">
      <w:pPr>
        <w:pStyle w:val="3"/>
        <w:jc w:val="center"/>
        <w:rPr>
          <w:sz w:val="32"/>
          <w:szCs w:val="32"/>
          <w:highlight w:val="none"/>
        </w:rPr>
      </w:pPr>
      <w:r>
        <w:rPr>
          <w:kern w:val="0"/>
          <w:sz w:val="24"/>
          <w:szCs w:val="24"/>
          <w:highlight w:val="none"/>
        </w:rPr>
        <w:br w:type="page"/>
      </w:r>
      <w:bookmarkStart w:id="137" w:name="_Toc31585"/>
      <w:bookmarkStart w:id="138" w:name="_Toc15513"/>
      <w:bookmarkStart w:id="139" w:name="_Toc2539"/>
      <w:bookmarkStart w:id="140" w:name="_Toc20704"/>
      <w:bookmarkStart w:id="141" w:name="_Toc32010"/>
      <w:bookmarkStart w:id="142" w:name="_Toc32196"/>
      <w:bookmarkStart w:id="143" w:name="_Toc11770"/>
      <w:bookmarkStart w:id="144" w:name="_Toc21662"/>
      <w:bookmarkStart w:id="145" w:name="_Toc29038"/>
      <w:bookmarkStart w:id="146" w:name="_Toc17254"/>
      <w:bookmarkStart w:id="147" w:name="_Toc1993"/>
      <w:bookmarkStart w:id="148" w:name="_Toc23197"/>
      <w:bookmarkStart w:id="149" w:name="_Toc1637"/>
      <w:bookmarkStart w:id="150" w:name="_Toc23551"/>
      <w:bookmarkStart w:id="151" w:name="_Toc15266"/>
      <w:bookmarkStart w:id="152" w:name="_Toc16183"/>
      <w:bookmarkStart w:id="153" w:name="_Toc29925"/>
      <w:bookmarkStart w:id="154" w:name="_Toc11576"/>
      <w:bookmarkStart w:id="155" w:name="_Toc27073"/>
      <w:bookmarkStart w:id="156" w:name="_Toc10096"/>
      <w:bookmarkStart w:id="157" w:name="_Toc11077"/>
      <w:bookmarkStart w:id="158" w:name="_Toc15226"/>
      <w:bookmarkStart w:id="159" w:name="_Toc12074"/>
      <w:bookmarkStart w:id="160" w:name="_Toc6590"/>
      <w:bookmarkStart w:id="161" w:name="_Toc29712"/>
      <w:bookmarkStart w:id="162" w:name="_Toc20975"/>
      <w:bookmarkStart w:id="163" w:name="_Toc20187"/>
      <w:bookmarkStart w:id="164" w:name="_Toc15484"/>
      <w:bookmarkStart w:id="165" w:name="_Toc16502"/>
      <w:bookmarkStart w:id="166" w:name="_Toc6636"/>
      <w:bookmarkStart w:id="167" w:name="_Toc1736"/>
      <w:bookmarkStart w:id="168" w:name="_Toc18831"/>
      <w:bookmarkStart w:id="169" w:name="_Toc13872"/>
      <w:r>
        <w:rPr>
          <w:sz w:val="32"/>
          <w:szCs w:val="32"/>
          <w:highlight w:val="none"/>
        </w:rPr>
        <w:t>第四章  评审方法和评分标准</w:t>
      </w:r>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p>
    <w:p w14:paraId="5436E8D9">
      <w:pPr>
        <w:pStyle w:val="25"/>
        <w:keepNext w:val="0"/>
        <w:keepLines w:val="0"/>
        <w:pageBreakBefore w:val="0"/>
        <w:kinsoku/>
        <w:wordWrap/>
        <w:overflowPunct/>
        <w:topLinePunct w:val="0"/>
        <w:autoSpaceDE/>
        <w:autoSpaceDN/>
        <w:bidi w:val="0"/>
        <w:adjustRightInd/>
        <w:spacing w:line="400" w:lineRule="exact"/>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一、评审方法</w:t>
      </w:r>
    </w:p>
    <w:p w14:paraId="00CA4E26">
      <w:pPr>
        <w:pStyle w:val="25"/>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（一）评审</w:t>
      </w:r>
      <w:r>
        <w:rPr>
          <w:rFonts w:hint="eastAsia" w:asciiTheme="minorEastAsia" w:hAnsiTheme="minorEastAsia" w:eastAsiaTheme="minorEastAsia" w:cstheme="minorEastAsia"/>
          <w:b/>
          <w:bCs/>
          <w:highlight w:val="none"/>
          <w:lang w:val="en-US" w:eastAsia="zh-CN"/>
        </w:rPr>
        <w:t>小组</w:t>
      </w:r>
      <w:r>
        <w:rPr>
          <w:rFonts w:hint="eastAsia" w:asciiTheme="minorEastAsia" w:hAnsiTheme="minorEastAsia" w:eastAsiaTheme="minorEastAsia" w:cstheme="minorEastAsia"/>
          <w:b/>
          <w:bCs/>
          <w:highlight w:val="none"/>
        </w:rPr>
        <w:t>组成</w:t>
      </w:r>
    </w:p>
    <w:p w14:paraId="43C526E6">
      <w:pPr>
        <w:pStyle w:val="25"/>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成员组成：由采购评审专家共3人以上的单数组成。</w:t>
      </w:r>
    </w:p>
    <w:p w14:paraId="23E6B81D">
      <w:pPr>
        <w:pStyle w:val="25"/>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（二）评审原则</w:t>
      </w:r>
    </w:p>
    <w:p w14:paraId="28336BA2">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必须坚持公平、公正、科学和择优的原则。</w:t>
      </w:r>
    </w:p>
    <w:p w14:paraId="2D4097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2.在评审过程中，评审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任何人不得对某个</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发表任何倾向性意见，不得向其他专家评委明示或者暗示自己的评审意见。</w:t>
      </w:r>
    </w:p>
    <w:p w14:paraId="239A7696">
      <w:pPr>
        <w:pStyle w:val="25"/>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成员对需要共同认定的事项存在争议的，按照少数服从多数的原则作出结论。持不同意见的评审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成员应当在评审报告上签署不同意见并说明理由，否则视为同意。</w:t>
      </w:r>
    </w:p>
    <w:p w14:paraId="3D199B21">
      <w:pPr>
        <w:pStyle w:val="25"/>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（三）评审要求</w:t>
      </w:r>
    </w:p>
    <w:p w14:paraId="3C711BF8">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核实评审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成员身份，告知回避要求，宣布评审工作纪律和程序。</w:t>
      </w:r>
    </w:p>
    <w:p w14:paraId="548E1EF5">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依据法律法规和磋商文件的规定，对</w:t>
      </w:r>
      <w:r>
        <w:rPr>
          <w:rFonts w:hint="eastAsia" w:asciiTheme="minorEastAsia" w:hAnsiTheme="minorEastAsia" w:eastAsiaTheme="minorEastAsia" w:cstheme="minorEastAsia"/>
          <w:highlight w:val="none"/>
          <w:lang w:val="en-US" w:eastAsia="zh-CN"/>
        </w:rPr>
        <w:t>供应商提交的</w:t>
      </w:r>
      <w:r>
        <w:rPr>
          <w:rFonts w:hint="eastAsia" w:asciiTheme="minorEastAsia" w:hAnsiTheme="minorEastAsia" w:eastAsiaTheme="minorEastAsia" w:cstheme="minorEastAsia"/>
          <w:highlight w:val="none"/>
        </w:rPr>
        <w:t>响应文件</w:t>
      </w:r>
      <w:r>
        <w:rPr>
          <w:rFonts w:hint="eastAsia" w:asciiTheme="minorEastAsia" w:hAnsiTheme="minorEastAsia" w:eastAsiaTheme="minorEastAsia" w:cstheme="minorEastAsia"/>
          <w:highlight w:val="none"/>
          <w:lang w:val="en-US" w:eastAsia="zh-CN"/>
        </w:rPr>
        <w:t>进行初步审查，包括响应文件的有效性、完整性、符合性</w:t>
      </w:r>
      <w:r>
        <w:rPr>
          <w:rFonts w:hint="eastAsia" w:asciiTheme="minorEastAsia" w:hAnsiTheme="minorEastAsia" w:eastAsiaTheme="minorEastAsia" w:cstheme="minorEastAsia"/>
          <w:highlight w:val="none"/>
        </w:rPr>
        <w:t>是否对磋商文件的实质性要求作出响应，对于磋商文件中所有标注</w:t>
      </w:r>
      <w:r>
        <w:rPr>
          <w:rFonts w:hint="eastAsia" w:asciiTheme="minorEastAsia" w:hAnsiTheme="minorEastAsia" w:eastAsiaTheme="minorEastAsia" w:cstheme="minorEastAsia"/>
          <w:b/>
          <w:bCs/>
          <w:highlight w:val="none"/>
        </w:rPr>
        <w:t>★</w:t>
      </w:r>
      <w:r>
        <w:rPr>
          <w:rFonts w:hint="eastAsia" w:asciiTheme="minorEastAsia" w:hAnsiTheme="minorEastAsia" w:eastAsiaTheme="minorEastAsia" w:cstheme="minorEastAsia"/>
          <w:highlight w:val="none"/>
        </w:rPr>
        <w:t>号的实质性条款要求响应均无负偏离。</w:t>
      </w:r>
    </w:p>
    <w:p w14:paraId="764FE11B">
      <w:pPr>
        <w:keepNext w:val="0"/>
        <w:keepLines w:val="0"/>
        <w:pageBreakBefore w:val="0"/>
        <w:tabs>
          <w:tab w:val="left" w:pos="1140"/>
        </w:tabs>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按磋商文件对资格性审查和符合性审查合格的响应文件进行商务和技术评估，综合比较与评价。</w:t>
      </w:r>
    </w:p>
    <w:p w14:paraId="308F469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对评审数据进行校对、核对，对畸高、畸低的重大差异评分提示评审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复核或书面说明理由。</w:t>
      </w:r>
    </w:p>
    <w:p w14:paraId="2C0125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w:t>
      </w:r>
      <w:r>
        <w:rPr>
          <w:rFonts w:hint="eastAsia" w:asciiTheme="minorEastAsia" w:hAnsiTheme="minorEastAsia" w:eastAsiaTheme="minorEastAsia" w:cstheme="minorEastAsia"/>
          <w:highlight w:val="none"/>
          <w:lang w:val="en-US" w:eastAsia="zh-CN"/>
        </w:rPr>
        <w:t>采购人</w:t>
      </w:r>
      <w:r>
        <w:rPr>
          <w:rFonts w:hint="eastAsia" w:asciiTheme="minorEastAsia" w:hAnsiTheme="minorEastAsia" w:eastAsiaTheme="minorEastAsia" w:cstheme="minorEastAsia"/>
          <w:highlight w:val="none"/>
        </w:rPr>
        <w:t>发现评审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有明显的违规倾向或歧视现象，或不按评标办法进行，或其他不正常行为的，应当及时制止。</w:t>
      </w:r>
    </w:p>
    <w:p w14:paraId="053AEF1B">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（四）评审程序</w:t>
      </w:r>
    </w:p>
    <w:p w14:paraId="23D40FFF">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1.宣布磋商会议开始。</w:t>
      </w:r>
    </w:p>
    <w:p w14:paraId="2F0A2E73">
      <w:pPr>
        <w:pStyle w:val="2"/>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2.评审响应文件。</w:t>
      </w:r>
    </w:p>
    <w:p w14:paraId="084FAF0F">
      <w:pPr>
        <w:pStyle w:val="2"/>
        <w:keepNext w:val="0"/>
        <w:keepLines w:val="0"/>
        <w:pageBreakBefore w:val="0"/>
        <w:widowControl/>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3.磋商。</w:t>
      </w:r>
    </w:p>
    <w:p w14:paraId="2C9BD79D">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4.最后报价。</w:t>
      </w:r>
    </w:p>
    <w:p w14:paraId="1E85528B">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lang w:val="en-US"/>
        </w:rPr>
      </w:pPr>
      <w:r>
        <w:rPr>
          <w:rFonts w:hint="eastAsia" w:asciiTheme="minorEastAsia" w:hAnsiTheme="minorEastAsia" w:eastAsiaTheme="minorEastAsia" w:cstheme="minorEastAsia"/>
          <w:highlight w:val="none"/>
        </w:rPr>
        <w:t>5.</w:t>
      </w:r>
      <w:r>
        <w:rPr>
          <w:rFonts w:hint="eastAsia" w:asciiTheme="minorEastAsia" w:hAnsiTheme="minorEastAsia" w:eastAsiaTheme="minorEastAsia" w:cstheme="minorEastAsia"/>
          <w:highlight w:val="none"/>
          <w:lang w:val="en-US" w:eastAsia="zh-CN"/>
        </w:rPr>
        <w:t>综合比较和评价。</w:t>
      </w:r>
    </w:p>
    <w:p w14:paraId="61CC2F7C">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6.</w:t>
      </w:r>
      <w:r>
        <w:rPr>
          <w:rFonts w:hint="eastAsia" w:asciiTheme="minorEastAsia" w:hAnsiTheme="minorEastAsia" w:eastAsiaTheme="minorEastAsia" w:cstheme="minorEastAsia"/>
          <w:highlight w:val="none"/>
        </w:rPr>
        <w:t>推荐</w:t>
      </w:r>
      <w:r>
        <w:rPr>
          <w:rFonts w:hint="eastAsia" w:asciiTheme="minorEastAsia" w:hAnsiTheme="minorEastAsia" w:eastAsiaTheme="minorEastAsia" w:cstheme="minorEastAsia"/>
          <w:highlight w:val="none"/>
          <w:lang w:val="en-US" w:eastAsia="zh-CN"/>
        </w:rPr>
        <w:t>成交候选供应商</w:t>
      </w:r>
      <w:r>
        <w:rPr>
          <w:rFonts w:hint="eastAsia" w:asciiTheme="minorEastAsia" w:hAnsiTheme="minorEastAsia" w:eastAsiaTheme="minorEastAsia" w:cstheme="minorEastAsia"/>
          <w:highlight w:val="none"/>
        </w:rPr>
        <w:t>名单。</w:t>
      </w:r>
    </w:p>
    <w:p w14:paraId="65B06690">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（五）澄清问题的形式</w:t>
      </w:r>
    </w:p>
    <w:p w14:paraId="6D993F6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对响应文件中含义不明确、同类问题表述不一致或者有明显文字和计算错误的内容，评审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可以书面形式要求</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作出必要的澄清、说明或者纠正。</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的澄清、说明或者纠正应当采用书面形式，由法定代表人或委托代理人签字或盖章确认，并不得超出响应文件的范围或者改变响应文件实质性内容。</w:t>
      </w:r>
    </w:p>
    <w:p w14:paraId="478528DD">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（六）错误修正</w:t>
      </w:r>
    </w:p>
    <w:p w14:paraId="58A59FA1">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响应文件如果出现计算或者表达上的错误，修正错误的原则如下：</w:t>
      </w:r>
    </w:p>
    <w:p w14:paraId="68B35667">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1.报价文件的大写金额与小写金额不一致的，以大写金额为准；</w:t>
      </w:r>
    </w:p>
    <w:p w14:paraId="28ACC14A">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rPr>
        <w:t>2.单价金额小数点有明显错位的，应以总价为准，并修改单价</w:t>
      </w:r>
      <w:r>
        <w:rPr>
          <w:rFonts w:hint="eastAsia" w:asciiTheme="minorEastAsia" w:hAnsiTheme="minorEastAsia" w:eastAsiaTheme="minorEastAsia" w:cstheme="minorEastAsia"/>
          <w:highlight w:val="none"/>
          <w:lang w:val="en-US" w:eastAsia="zh-CN"/>
        </w:rPr>
        <w:t>；</w:t>
      </w:r>
    </w:p>
    <w:p w14:paraId="711675A1">
      <w:pPr>
        <w:pStyle w:val="15"/>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3.</w:t>
      </w:r>
      <w:r>
        <w:rPr>
          <w:rFonts w:hint="eastAsia" w:asciiTheme="minorEastAsia" w:hAnsiTheme="minorEastAsia" w:eastAsiaTheme="minorEastAsia" w:cstheme="minorEastAsia"/>
          <w:highlight w:val="none"/>
        </w:rPr>
        <w:t>总价金额与按单价汇总金额不一致的，以单价金额计算结果为准</w:t>
      </w:r>
      <w:r>
        <w:rPr>
          <w:rFonts w:hint="eastAsia" w:asciiTheme="minorEastAsia" w:hAnsiTheme="minorEastAsia" w:eastAsiaTheme="minorEastAsia" w:cstheme="minorEastAsia"/>
          <w:highlight w:val="none"/>
          <w:lang w:eastAsia="zh-CN"/>
        </w:rPr>
        <w:t>。</w:t>
      </w:r>
    </w:p>
    <w:p w14:paraId="5F0ECE69">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按上述修正错误的原则及方法调整或修正响应文件的</w:t>
      </w:r>
      <w:r>
        <w:rPr>
          <w:rFonts w:hint="eastAsia" w:asciiTheme="minorEastAsia" w:hAnsiTheme="minorEastAsia" w:eastAsiaTheme="minorEastAsia" w:cstheme="minorEastAsia"/>
          <w:highlight w:val="none"/>
          <w:lang w:eastAsia="zh-CN"/>
        </w:rPr>
        <w:t>竞标</w:t>
      </w:r>
      <w:r>
        <w:rPr>
          <w:rFonts w:hint="eastAsia" w:asciiTheme="minorEastAsia" w:hAnsiTheme="minorEastAsia" w:eastAsiaTheme="minorEastAsia" w:cstheme="minorEastAsia"/>
          <w:highlight w:val="none"/>
        </w:rPr>
        <w:t>报价，</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同意并签字确认后，调整后的</w:t>
      </w:r>
      <w:r>
        <w:rPr>
          <w:rFonts w:hint="eastAsia" w:asciiTheme="minorEastAsia" w:hAnsiTheme="minorEastAsia" w:eastAsiaTheme="minorEastAsia" w:cstheme="minorEastAsia"/>
          <w:highlight w:val="none"/>
          <w:lang w:eastAsia="zh-CN"/>
        </w:rPr>
        <w:t>竞标</w:t>
      </w:r>
      <w:r>
        <w:rPr>
          <w:rFonts w:hint="eastAsia" w:asciiTheme="minorEastAsia" w:hAnsiTheme="minorEastAsia" w:eastAsiaTheme="minorEastAsia" w:cstheme="minorEastAsia"/>
          <w:highlight w:val="none"/>
        </w:rPr>
        <w:t>报价对</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具有约束作用。如果</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不接受修正后的报价，则其磋商将作为无效磋商处理。</w:t>
      </w:r>
    </w:p>
    <w:p w14:paraId="78B557FF">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（七）磋商</w:t>
      </w:r>
    </w:p>
    <w:p w14:paraId="7AD42FFE">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磋商程序如下：</w:t>
      </w:r>
    </w:p>
    <w:p w14:paraId="6580DD5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1.宣布磋商会议开始，</w:t>
      </w:r>
      <w:r>
        <w:rPr>
          <w:rFonts w:hint="eastAsia" w:asciiTheme="minorEastAsia" w:hAnsiTheme="minorEastAsia" w:eastAsiaTheme="minorEastAsia" w:cstheme="minorEastAsia"/>
          <w:b/>
          <w:bCs/>
          <w:highlight w:val="none"/>
          <w:lang w:eastAsia="zh-CN"/>
        </w:rPr>
        <w:t>供应商</w:t>
      </w:r>
      <w:r>
        <w:rPr>
          <w:rFonts w:hint="eastAsia" w:asciiTheme="minorEastAsia" w:hAnsiTheme="minorEastAsia" w:eastAsiaTheme="minorEastAsia" w:cstheme="minorEastAsia"/>
          <w:b/>
          <w:bCs/>
          <w:highlight w:val="none"/>
        </w:rPr>
        <w:t>的法定代表人或其授权代表必须现场持有效证件按时参加磋商。</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的授权代表（或法定代表人）必须参加每次磋商。主持人宣布参加人员及有关事项。</w:t>
      </w:r>
    </w:p>
    <w:p w14:paraId="295F005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2.评审小组告知各</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第一轮磋商的时间和磋商内容，各</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退场等候。</w:t>
      </w:r>
    </w:p>
    <w:p w14:paraId="5E7EBE54">
      <w:pPr>
        <w:pStyle w:val="19"/>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3.评审小组根据磋商文件规定的程序、评定成交的标准等事项与实质性响应</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文件要求的供应商进行</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w:t>
      </w:r>
    </w:p>
    <w:p w14:paraId="4DB61172">
      <w:pPr>
        <w:pStyle w:val="19"/>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4.</w:t>
      </w:r>
      <w:r>
        <w:rPr>
          <w:rFonts w:hint="eastAsia" w:asciiTheme="minorEastAsia" w:hAnsiTheme="minorEastAsia" w:eastAsiaTheme="minorEastAsia" w:cstheme="minorEastAsia"/>
          <w:highlight w:val="none"/>
        </w:rPr>
        <w:t>评审小组所有成员应当按照已确定的</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顺序集中与单一供应商分别进行</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，并给予所有实质性响应</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文件要求的供应</w:t>
      </w:r>
      <w:r>
        <w:rPr>
          <w:rFonts w:hint="eastAsia" w:asciiTheme="minorEastAsia" w:hAnsiTheme="minorEastAsia" w:eastAsiaTheme="minorEastAsia" w:cstheme="minorEastAsia"/>
          <w:highlight w:val="none"/>
          <w:lang w:val="en-US" w:eastAsia="zh-CN"/>
        </w:rPr>
        <w:t>商</w:t>
      </w:r>
      <w:r>
        <w:rPr>
          <w:rFonts w:hint="eastAsia" w:asciiTheme="minorEastAsia" w:hAnsiTheme="minorEastAsia" w:eastAsiaTheme="minorEastAsia" w:cstheme="minorEastAsia"/>
          <w:highlight w:val="none"/>
        </w:rPr>
        <w:t>平等的</w:t>
      </w:r>
      <w:r>
        <w:rPr>
          <w:rFonts w:hint="eastAsia" w:asciiTheme="minorEastAsia" w:hAnsiTheme="minorEastAsia" w:eastAsiaTheme="minorEastAsia" w:cstheme="minorEastAsia"/>
          <w:highlight w:val="none"/>
          <w:lang w:val="en-US" w:eastAsia="zh-CN"/>
        </w:rPr>
        <w:t>磋商</w:t>
      </w:r>
      <w:r>
        <w:rPr>
          <w:rFonts w:hint="eastAsia" w:asciiTheme="minorEastAsia" w:hAnsiTheme="minorEastAsia" w:eastAsiaTheme="minorEastAsia" w:cstheme="minorEastAsia"/>
          <w:highlight w:val="none"/>
        </w:rPr>
        <w:t>机会。</w:t>
      </w:r>
    </w:p>
    <w:p w14:paraId="0A8BF2BB">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5.在磋商过程中</w:t>
      </w:r>
      <w:r>
        <w:rPr>
          <w:rFonts w:hint="eastAsia" w:asciiTheme="minorEastAsia" w:hAnsiTheme="minorEastAsia" w:eastAsiaTheme="minorEastAsia" w:cstheme="minorEastAsia"/>
          <w:highlight w:val="none"/>
        </w:rPr>
        <w:t>，评审小组可以根据磋商文件和磋商情况实质性变动采购需求中的技术、服务要求以及合同草案条款</w:t>
      </w:r>
      <w:r>
        <w:rPr>
          <w:rFonts w:hint="eastAsia" w:asciiTheme="minorEastAsia" w:hAnsiTheme="minorEastAsia" w:eastAsiaTheme="minorEastAsia" w:cstheme="minorEastAsia"/>
          <w:highlight w:val="none"/>
          <w:lang w:val="en-US" w:eastAsia="zh-CN"/>
        </w:rPr>
        <w:t>并</w:t>
      </w:r>
      <w:r>
        <w:rPr>
          <w:rFonts w:hint="eastAsia" w:asciiTheme="minorEastAsia" w:hAnsiTheme="minorEastAsia" w:eastAsiaTheme="minorEastAsia" w:cstheme="minorEastAsia"/>
          <w:highlight w:val="none"/>
        </w:rPr>
        <w:t>与</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进行磋商，但不得变动磋商文件中的其他内容。</w:t>
      </w:r>
    </w:p>
    <w:p w14:paraId="4A1B3E2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6</w:t>
      </w:r>
      <w:r>
        <w:rPr>
          <w:rFonts w:hint="eastAsia" w:asciiTheme="minorEastAsia" w:hAnsiTheme="minorEastAsia" w:eastAsiaTheme="minorEastAsia" w:cstheme="minorEastAsia"/>
          <w:highlight w:val="none"/>
        </w:rPr>
        <w:t>.评审小组将根据</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的响应文件、陈述含混模糊之处或需要进一步了解的细节对</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提出问题，</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作出回答，最后</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须按所有问题提交书面的补充方案、对其磋商内容作出澄清或重新进行报价，并于规定时间递交评审小组。</w:t>
      </w:r>
    </w:p>
    <w:p w14:paraId="503B751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7</w:t>
      </w:r>
      <w:r>
        <w:rPr>
          <w:rFonts w:hint="eastAsia" w:asciiTheme="minorEastAsia" w:hAnsiTheme="minorEastAsia" w:eastAsiaTheme="minorEastAsia" w:cstheme="minorEastAsia"/>
          <w:highlight w:val="none"/>
        </w:rPr>
        <w:t>.重新磋商：双方对修改后的响应文件进行磋商，直至达成磋商结果。评审小组成员经评议后，根据磋商情况，可以要求</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进行多次报价。</w:t>
      </w:r>
    </w:p>
    <w:p w14:paraId="49AFD04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8</w:t>
      </w:r>
      <w:r>
        <w:rPr>
          <w:rFonts w:hint="eastAsia" w:asciiTheme="minorEastAsia" w:hAnsiTheme="minorEastAsia" w:eastAsiaTheme="minorEastAsia" w:cstheme="minorEastAsia"/>
          <w:highlight w:val="none"/>
        </w:rPr>
        <w:t>.</w:t>
      </w:r>
      <w:r>
        <w:rPr>
          <w:rFonts w:hint="eastAsia" w:asciiTheme="minorEastAsia" w:hAnsiTheme="minorEastAsia" w:eastAsiaTheme="minorEastAsia" w:cstheme="minorEastAsia"/>
          <w:highlight w:val="none"/>
          <w:lang w:val="en-US" w:eastAsia="zh-CN"/>
        </w:rPr>
        <w:t>最后报价：磋商结束后，</w:t>
      </w:r>
      <w:r>
        <w:rPr>
          <w:rFonts w:hint="eastAsia" w:asciiTheme="minorEastAsia" w:hAnsiTheme="minorEastAsia" w:eastAsiaTheme="minorEastAsia" w:cstheme="minorEastAsia"/>
          <w:highlight w:val="none"/>
        </w:rPr>
        <w:t>所有</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必须将最后报价于规定时间前在磋商现场以书面方式递交至评审小组。最后报价及其他响应响应文件应以书面方式密封提交并有法定代表人或者授权代表签字确认或者加盖公章，否则视为无效。</w:t>
      </w:r>
    </w:p>
    <w:p w14:paraId="156DA94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9</w:t>
      </w:r>
      <w:r>
        <w:rPr>
          <w:rFonts w:hint="eastAsia" w:asciiTheme="minorEastAsia" w:hAnsiTheme="minorEastAsia" w:eastAsiaTheme="minorEastAsia" w:cstheme="minorEastAsia"/>
          <w:highlight w:val="none"/>
        </w:rPr>
        <w:t>.已提交响应文件的</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，在提交最后报价之前，可以根据磋商情况退出磋商。退出磋商的须提供书面通知（</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授权代表须签字确认），评审小组在表决单中注明退出磋商的</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名单。</w:t>
      </w:r>
    </w:p>
    <w:p w14:paraId="5BC04350">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lang w:val="en-US" w:eastAsia="zh-CN"/>
        </w:rPr>
        <w:t>10</w:t>
      </w:r>
      <w:r>
        <w:rPr>
          <w:rFonts w:hint="eastAsia" w:asciiTheme="minorEastAsia" w:hAnsiTheme="minorEastAsia" w:eastAsiaTheme="minorEastAsia" w:cstheme="minorEastAsia"/>
          <w:highlight w:val="none"/>
        </w:rPr>
        <w:t>.磋商达成。磋商的结果以书面为准，经</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和评审小组代表确认后，替代磋商文件或响应文件中相应的内容，并作为构成响应文件的一部分和作为评审的依据。如成交，则作为合同、履约等的组成部分。</w:t>
      </w:r>
    </w:p>
    <w:p w14:paraId="5C3D380D">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highlight w:val="none"/>
          <w:lang w:val="en-US" w:eastAsia="zh-CN"/>
        </w:rPr>
        <w:t>11</w:t>
      </w:r>
      <w:r>
        <w:rPr>
          <w:rFonts w:hint="eastAsia" w:asciiTheme="minorEastAsia" w:hAnsiTheme="minorEastAsia" w:eastAsiaTheme="minorEastAsia" w:cstheme="minorEastAsia"/>
          <w:highlight w:val="none"/>
        </w:rPr>
        <w:t>.评审小组认为</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的报价明显低于其他通过符合性审查</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的报价，有可能影响产品</w:t>
      </w:r>
      <w:r>
        <w:rPr>
          <w:rFonts w:hint="eastAsia" w:asciiTheme="minorEastAsia" w:hAnsiTheme="minorEastAsia" w:eastAsiaTheme="minorEastAsia" w:cstheme="minorEastAsia"/>
          <w:highlight w:val="none"/>
          <w:lang w:val="en-US" w:eastAsia="zh-CN"/>
        </w:rPr>
        <w:t>或服务</w:t>
      </w:r>
      <w:r>
        <w:rPr>
          <w:rFonts w:hint="eastAsia" w:asciiTheme="minorEastAsia" w:hAnsiTheme="minorEastAsia" w:eastAsiaTheme="minorEastAsia" w:cstheme="minorEastAsia"/>
          <w:highlight w:val="none"/>
        </w:rPr>
        <w:t>质量或者不能诚信履约的，应当要求其在评审现场合理的时间内提供书面说明，必要时提交相关证明材料；</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不能证明其报价合理性的，评审小组应当将其作为无效</w:t>
      </w:r>
      <w:r>
        <w:rPr>
          <w:rFonts w:hint="eastAsia" w:asciiTheme="minorEastAsia" w:hAnsiTheme="minorEastAsia" w:eastAsiaTheme="minorEastAsia" w:cstheme="minorEastAsia"/>
          <w:highlight w:val="none"/>
          <w:lang w:eastAsia="zh-CN"/>
        </w:rPr>
        <w:t>竞标</w:t>
      </w:r>
      <w:r>
        <w:rPr>
          <w:rFonts w:hint="eastAsia" w:asciiTheme="minorEastAsia" w:hAnsiTheme="minorEastAsia" w:eastAsiaTheme="minorEastAsia" w:cstheme="minorEastAsia"/>
          <w:highlight w:val="none"/>
        </w:rPr>
        <w:t>处理。</w:t>
      </w:r>
    </w:p>
    <w:p w14:paraId="0D6E228E">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（八）属于下列情况之一者，磋商无效：</w:t>
      </w:r>
    </w:p>
    <w:p w14:paraId="2DC2341C">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1.未按照磋商文件规定要求密封、签署、盖章的，或未提供法定代表人授权委托书（委托代理时）。</w:t>
      </w:r>
    </w:p>
    <w:p w14:paraId="51F0B7A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2.超越了按照法律法规规定必须获得行政许可。</w:t>
      </w:r>
    </w:p>
    <w:p w14:paraId="761A81E2">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3.响应文件未按磋商文件的内容和要求编写，或提供虚假材料的。</w:t>
      </w:r>
    </w:p>
    <w:p w14:paraId="217C7098">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4.</w:t>
      </w:r>
      <w:r>
        <w:rPr>
          <w:rFonts w:hint="eastAsia" w:asciiTheme="minorEastAsia" w:hAnsiTheme="minorEastAsia" w:eastAsiaTheme="minorEastAsia" w:cstheme="minorEastAsia"/>
          <w:highlight w:val="none"/>
          <w:lang w:eastAsia="zh-CN"/>
        </w:rPr>
        <w:t>竞标</w:t>
      </w:r>
      <w:r>
        <w:rPr>
          <w:rFonts w:hint="eastAsia" w:asciiTheme="minorEastAsia" w:hAnsiTheme="minorEastAsia" w:eastAsiaTheme="minorEastAsia" w:cstheme="minorEastAsia"/>
          <w:highlight w:val="none"/>
        </w:rPr>
        <w:t>有效期不能满足磋商文件要求的。</w:t>
      </w:r>
    </w:p>
    <w:p w14:paraId="281E096F">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5.</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未按本项目需求中公布的采购内容作完整唯一报价。</w:t>
      </w:r>
    </w:p>
    <w:p w14:paraId="3B478A8A">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6.不满足本项目需求中的实质性要求，或经评审</w:t>
      </w:r>
      <w:r>
        <w:rPr>
          <w:rFonts w:hint="eastAsia" w:asciiTheme="minorEastAsia" w:hAnsiTheme="minorEastAsia" w:eastAsiaTheme="minorEastAsia" w:cstheme="minorEastAsia"/>
          <w:highlight w:val="none"/>
          <w:lang w:val="en-US" w:eastAsia="zh-CN"/>
        </w:rPr>
        <w:t>小组</w:t>
      </w:r>
      <w:r>
        <w:rPr>
          <w:rFonts w:hint="eastAsia" w:asciiTheme="minorEastAsia" w:hAnsiTheme="minorEastAsia" w:eastAsiaTheme="minorEastAsia" w:cstheme="minorEastAsia"/>
          <w:highlight w:val="none"/>
        </w:rPr>
        <w:t>一致认定有明显不符合响应文件规定的技术规格、技术标准要求的实质性要求。</w:t>
      </w:r>
    </w:p>
    <w:p w14:paraId="0A766CA6">
      <w:pPr>
        <w:keepNext w:val="0"/>
        <w:keepLines w:val="0"/>
        <w:pageBreakBefore w:val="0"/>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7.</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未按要求提供“原件备查”材料原件的，或所提供材料原件与其在响应文件中提供的材料复印件不一致的。</w:t>
      </w:r>
    </w:p>
    <w:p w14:paraId="270F5F10">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8.未实质性响应磋商文件要求或者磋商文件有采购人不能接受的附加条件的。</w:t>
      </w:r>
    </w:p>
    <w:p w14:paraId="0FAC234B">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9.不符合法律、法规或磋商文件规定的其他实质性要求和条件的。</w:t>
      </w:r>
    </w:p>
    <w:p w14:paraId="79C67265">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10.响应文件内容印刷字迹模糊、复印证件内容不清晰的。</w:t>
      </w:r>
    </w:p>
    <w:p w14:paraId="6710A05F">
      <w:pPr>
        <w:keepNext w:val="0"/>
        <w:keepLines w:val="0"/>
        <w:pageBreakBefore w:val="0"/>
        <w:kinsoku/>
        <w:wordWrap/>
        <w:overflowPunct/>
        <w:topLinePunct w:val="0"/>
        <w:autoSpaceDE/>
        <w:autoSpaceDN/>
        <w:bidi w:val="0"/>
        <w:adjustRightInd/>
        <w:spacing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11.文件中注明“必须提供”的文件未加盖</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公章（扫描公章无效）的。</w:t>
      </w:r>
    </w:p>
    <w:p w14:paraId="19DF7A4F">
      <w:pPr>
        <w:pStyle w:val="2"/>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12.报价超过采购预算的。</w:t>
      </w:r>
    </w:p>
    <w:p w14:paraId="091299ED">
      <w:pPr>
        <w:pStyle w:val="36"/>
        <w:keepNext w:val="0"/>
        <w:keepLines w:val="0"/>
        <w:pageBreakBefore w:val="0"/>
        <w:kinsoku/>
        <w:wordWrap/>
        <w:overflowPunct/>
        <w:topLinePunct w:val="0"/>
        <w:autoSpaceDE/>
        <w:autoSpaceDN/>
        <w:bidi w:val="0"/>
        <w:adjustRightInd/>
        <w:spacing w:after="0" w:line="400" w:lineRule="exact"/>
        <w:ind w:firstLine="420" w:firstLineChars="200"/>
        <w:jc w:val="both"/>
        <w:textAlignment w:val="auto"/>
        <w:rPr>
          <w:rFonts w:hint="eastAsia" w:asciiTheme="minorEastAsia" w:hAnsiTheme="minorEastAsia" w:eastAsiaTheme="minorEastAsia" w:cstheme="minorEastAsia"/>
          <w:highlight w:val="none"/>
          <w:lang w:val="en-US" w:eastAsia="zh-CN"/>
        </w:rPr>
      </w:pPr>
      <w:r>
        <w:rPr>
          <w:rFonts w:hint="eastAsia" w:asciiTheme="minorEastAsia" w:hAnsiTheme="minorEastAsia" w:eastAsiaTheme="minorEastAsia" w:cstheme="minorEastAsia"/>
          <w:highlight w:val="none"/>
          <w:lang w:val="en-US" w:eastAsia="zh-CN"/>
        </w:rPr>
        <w:t>13.未按磋商文件规定提交保证金的。</w:t>
      </w:r>
    </w:p>
    <w:p w14:paraId="2C83B402">
      <w:pPr>
        <w:keepNext w:val="0"/>
        <w:keepLines w:val="0"/>
        <w:pageBreakBefore w:val="0"/>
        <w:kinsoku/>
        <w:wordWrap/>
        <w:overflowPunct/>
        <w:topLinePunct w:val="0"/>
        <w:autoSpaceDE/>
        <w:autoSpaceDN/>
        <w:bidi w:val="0"/>
        <w:adjustRightInd/>
        <w:snapToGrid w:val="0"/>
        <w:spacing w:line="400" w:lineRule="exact"/>
        <w:ind w:firstLine="422" w:firstLineChars="200"/>
        <w:jc w:val="both"/>
        <w:textAlignment w:val="auto"/>
        <w:outlineLvl w:val="4"/>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（九）属于下列情形之一的，应予废标：</w:t>
      </w:r>
    </w:p>
    <w:p w14:paraId="0213BF13">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1.出现影响采购公正的违法、违规行为的。</w:t>
      </w:r>
    </w:p>
    <w:p w14:paraId="68CD04EC">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2.因重大变故，采购任务取消的。</w:t>
      </w:r>
    </w:p>
    <w:p w14:paraId="11A72757">
      <w:pPr>
        <w:keepNext w:val="0"/>
        <w:keepLines w:val="0"/>
        <w:pageBreakBefore w:val="0"/>
        <w:kinsoku/>
        <w:wordWrap/>
        <w:overflowPunct/>
        <w:topLinePunct w:val="0"/>
        <w:autoSpaceDE/>
        <w:autoSpaceDN/>
        <w:bidi w:val="0"/>
        <w:adjustRightInd/>
        <w:spacing w:line="400" w:lineRule="exact"/>
        <w:ind w:firstLine="422" w:firstLineChars="200"/>
        <w:jc w:val="both"/>
        <w:textAlignment w:val="auto"/>
        <w:rPr>
          <w:rFonts w:hint="eastAsia" w:asciiTheme="minorEastAsia" w:hAnsiTheme="minorEastAsia" w:eastAsiaTheme="minorEastAsia" w:cstheme="minorEastAsia"/>
          <w:b/>
          <w:bCs/>
          <w:highlight w:val="none"/>
        </w:rPr>
      </w:pPr>
      <w:r>
        <w:rPr>
          <w:rFonts w:hint="eastAsia" w:asciiTheme="minorEastAsia" w:hAnsiTheme="minorEastAsia" w:eastAsiaTheme="minorEastAsia" w:cstheme="minorEastAsia"/>
          <w:b/>
          <w:bCs/>
          <w:highlight w:val="none"/>
        </w:rPr>
        <w:t>（十）评审过程的监控</w:t>
      </w:r>
    </w:p>
    <w:p w14:paraId="0A610387">
      <w:pPr>
        <w:keepNext w:val="0"/>
        <w:keepLines w:val="0"/>
        <w:pageBreakBefore w:val="0"/>
        <w:tabs>
          <w:tab w:val="left" w:pos="840"/>
        </w:tabs>
        <w:kinsoku/>
        <w:wordWrap/>
        <w:overflowPunct/>
        <w:topLinePunct w:val="0"/>
        <w:autoSpaceDE/>
        <w:autoSpaceDN/>
        <w:bidi w:val="0"/>
        <w:adjustRightInd/>
        <w:snapToGrid w:val="0"/>
        <w:spacing w:line="400" w:lineRule="exact"/>
        <w:ind w:firstLine="420" w:firstLineChars="200"/>
        <w:jc w:val="both"/>
        <w:textAlignment w:val="auto"/>
        <w:outlineLvl w:val="4"/>
        <w:rPr>
          <w:rFonts w:hint="eastAsia" w:asciiTheme="minorEastAsia" w:hAnsiTheme="minorEastAsia" w:eastAsiaTheme="minorEastAsia" w:cstheme="minorEastAsia"/>
          <w:highlight w:val="none"/>
        </w:rPr>
      </w:pPr>
      <w:r>
        <w:rPr>
          <w:rFonts w:hint="eastAsia" w:asciiTheme="minorEastAsia" w:hAnsiTheme="minorEastAsia" w:eastAsiaTheme="minorEastAsia" w:cstheme="minorEastAsia"/>
          <w:highlight w:val="none"/>
        </w:rPr>
        <w:t>本项目评审过程实行监察，</w:t>
      </w:r>
      <w:r>
        <w:rPr>
          <w:rFonts w:hint="eastAsia" w:asciiTheme="minorEastAsia" w:hAnsiTheme="minorEastAsia" w:eastAsiaTheme="minorEastAsia" w:cstheme="minorEastAsia"/>
          <w:highlight w:val="none"/>
          <w:lang w:eastAsia="zh-CN"/>
        </w:rPr>
        <w:t>供应商</w:t>
      </w:r>
      <w:r>
        <w:rPr>
          <w:rFonts w:hint="eastAsia" w:asciiTheme="minorEastAsia" w:hAnsiTheme="minorEastAsia" w:eastAsiaTheme="minorEastAsia" w:cstheme="minorEastAsia"/>
          <w:highlight w:val="none"/>
        </w:rPr>
        <w:t>在评审过程中所进行的试图影响评审结果的不公正活动，可能导致其磋商被拒绝。</w:t>
      </w:r>
    </w:p>
    <w:p w14:paraId="73554498">
      <w:pPr>
        <w:pStyle w:val="2"/>
        <w:rPr>
          <w:highlight w:val="none"/>
        </w:rPr>
      </w:pPr>
    </w:p>
    <w:p w14:paraId="28BB001D">
      <w:pPr>
        <w:pStyle w:val="132"/>
        <w:rPr>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04D5AF06">
      <w:pPr>
        <w:pStyle w:val="188"/>
        <w:keepNext w:val="0"/>
        <w:keepLines w:val="0"/>
        <w:pageBreakBefore w:val="0"/>
        <w:kinsoku/>
        <w:wordWrap/>
        <w:overflowPunct/>
        <w:topLinePunct w:val="0"/>
        <w:autoSpaceDN/>
        <w:bidi w:val="0"/>
        <w:adjustRightInd/>
        <w:spacing w:before="0" w:line="400" w:lineRule="exact"/>
        <w:jc w:val="both"/>
        <w:textAlignment w:val="auto"/>
        <w:rPr>
          <w:rFonts w:hint="eastAsia" w:ascii="宋体" w:hAnsi="宋体" w:eastAsia="宋体" w:cs="宋体"/>
          <w:b/>
          <w:bCs/>
          <w:color w:val="auto"/>
          <w:sz w:val="21"/>
          <w:szCs w:val="21"/>
          <w:highlight w:val="none"/>
        </w:rPr>
      </w:pPr>
      <w:r>
        <w:rPr>
          <w:rFonts w:hint="eastAsia" w:ascii="宋体" w:hAnsi="宋体" w:eastAsia="宋体" w:cs="宋体"/>
          <w:b/>
          <w:bCs/>
          <w:color w:val="auto"/>
          <w:sz w:val="21"/>
          <w:szCs w:val="21"/>
          <w:highlight w:val="none"/>
        </w:rPr>
        <w:t>二、评分标准</w:t>
      </w:r>
    </w:p>
    <w:p w14:paraId="09DDA196">
      <w:pPr>
        <w:pStyle w:val="25"/>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（一）评分依据：</w:t>
      </w:r>
      <w:r>
        <w:rPr>
          <w:rFonts w:hint="eastAsia" w:ascii="宋体" w:hAnsi="宋体" w:eastAsia="宋体" w:cs="宋体"/>
          <w:sz w:val="21"/>
          <w:szCs w:val="21"/>
          <w:highlight w:val="none"/>
        </w:rPr>
        <w:t>评审小组以磋商文件和响应文件为依据，对</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的业绩、方案、报价等内容按百分制打分。</w:t>
      </w:r>
    </w:p>
    <w:p w14:paraId="00D51AD1">
      <w:pPr>
        <w:pStyle w:val="25"/>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sz w:val="21"/>
          <w:szCs w:val="21"/>
          <w:highlight w:val="none"/>
        </w:rPr>
      </w:pPr>
      <w:r>
        <w:rPr>
          <w:rFonts w:hint="eastAsia" w:ascii="宋体" w:hAnsi="宋体" w:eastAsia="宋体" w:cs="宋体"/>
          <w:b/>
          <w:bCs/>
          <w:sz w:val="21"/>
          <w:szCs w:val="21"/>
          <w:highlight w:val="none"/>
        </w:rPr>
        <w:t>（二）评审方法：</w:t>
      </w:r>
      <w:r>
        <w:rPr>
          <w:rFonts w:hint="eastAsia" w:ascii="宋体" w:hAnsi="宋体" w:eastAsia="宋体" w:cs="宋体"/>
          <w:sz w:val="21"/>
          <w:szCs w:val="21"/>
          <w:highlight w:val="none"/>
        </w:rPr>
        <w:t>采用百分制综合评分法，</w:t>
      </w:r>
      <w:r>
        <w:rPr>
          <w:rFonts w:hint="eastAsia" w:ascii="宋体" w:hAnsi="宋体" w:eastAsia="宋体" w:cs="宋体"/>
          <w:sz w:val="21"/>
          <w:szCs w:val="21"/>
          <w:highlight w:val="none"/>
          <w:lang w:eastAsia="ar-SA"/>
        </w:rPr>
        <w:t>评分分值计算保留小数点后两位，第三位四舍五入</w:t>
      </w:r>
      <w:r>
        <w:rPr>
          <w:rFonts w:hint="eastAsia" w:ascii="宋体" w:hAnsi="宋体" w:eastAsia="宋体" w:cs="宋体"/>
          <w:sz w:val="21"/>
          <w:szCs w:val="21"/>
          <w:highlight w:val="none"/>
        </w:rPr>
        <w:t>。</w:t>
      </w:r>
    </w:p>
    <w:p w14:paraId="645013EF">
      <w:pPr>
        <w:keepNext w:val="0"/>
        <w:keepLines w:val="0"/>
        <w:pageBreakBefore w:val="0"/>
        <w:kinsoku/>
        <w:wordWrap/>
        <w:overflowPunct/>
        <w:topLinePunct w:val="0"/>
        <w:autoSpaceDN/>
        <w:bidi w:val="0"/>
        <w:adjustRightInd/>
        <w:snapToGrid w:val="0"/>
        <w:spacing w:line="400" w:lineRule="exact"/>
        <w:ind w:firstLine="422" w:firstLineChars="200"/>
        <w:jc w:val="both"/>
        <w:textAlignment w:val="auto"/>
        <w:outlineLvl w:val="4"/>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（三）商务和技术评审</w:t>
      </w:r>
    </w:p>
    <w:p w14:paraId="5DA8D797">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评审小组按磋商文件中规定的评审方法和标准，对合格的响应文件进行商务和技术评审。</w:t>
      </w:r>
      <w:r>
        <w:rPr>
          <w:rStyle w:val="119"/>
          <w:rFonts w:hint="eastAsia" w:ascii="宋体" w:hAnsi="宋体" w:eastAsia="宋体" w:cs="宋体"/>
          <w:sz w:val="21"/>
          <w:szCs w:val="21"/>
          <w:highlight w:val="none"/>
        </w:rPr>
        <w:t>具体评审标准见《</w:t>
      </w:r>
      <w:r>
        <w:rPr>
          <w:rFonts w:hint="eastAsia" w:ascii="宋体" w:hAnsi="宋体" w:eastAsia="宋体" w:cs="宋体"/>
          <w:bCs/>
          <w:kern w:val="0"/>
          <w:sz w:val="21"/>
          <w:szCs w:val="21"/>
          <w:highlight w:val="none"/>
        </w:rPr>
        <w:t>评分</w:t>
      </w:r>
      <w:r>
        <w:rPr>
          <w:rFonts w:hint="eastAsia" w:ascii="宋体" w:hAnsi="宋体" w:eastAsia="宋体" w:cs="宋体"/>
          <w:bCs/>
          <w:kern w:val="0"/>
          <w:sz w:val="21"/>
          <w:szCs w:val="21"/>
          <w:highlight w:val="none"/>
          <w:lang w:val="en-US" w:eastAsia="zh-CN"/>
        </w:rPr>
        <w:t>方法</w:t>
      </w:r>
      <w:r>
        <w:rPr>
          <w:rStyle w:val="119"/>
          <w:rFonts w:hint="eastAsia" w:ascii="宋体" w:hAnsi="宋体" w:eastAsia="宋体" w:cs="宋体"/>
          <w:sz w:val="21"/>
          <w:szCs w:val="21"/>
          <w:highlight w:val="none"/>
        </w:rPr>
        <w:t>》。</w:t>
      </w:r>
    </w:p>
    <w:p w14:paraId="0095C613">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评审小组各成员对每个有效</w:t>
      </w:r>
      <w:r>
        <w:rPr>
          <w:rFonts w:hint="eastAsia" w:ascii="宋体" w:hAnsi="宋体" w:eastAsia="宋体" w:cs="宋体"/>
          <w:sz w:val="21"/>
          <w:szCs w:val="21"/>
          <w:highlight w:val="none"/>
          <w:lang w:eastAsia="zh-CN"/>
        </w:rPr>
        <w:t>供应商</w:t>
      </w:r>
      <w:r>
        <w:rPr>
          <w:rFonts w:hint="eastAsia" w:ascii="宋体" w:hAnsi="宋体" w:eastAsia="宋体" w:cs="宋体"/>
          <w:sz w:val="21"/>
          <w:szCs w:val="21"/>
          <w:highlight w:val="none"/>
        </w:rPr>
        <w:t>的响应文件进行评价、打分，然后由评审组长组织评审小组对各成员打分情况进行核查及复核，评分有误的，应及时进行修正。评审标准如有主客观分定义，评审小组所有成员的客观分打分分数应当一致。</w:t>
      </w:r>
    </w:p>
    <w:p w14:paraId="511078D7">
      <w:pPr>
        <w:keepNext w:val="0"/>
        <w:keepLines w:val="0"/>
        <w:pageBreakBefore w:val="0"/>
        <w:kinsoku/>
        <w:wordWrap/>
        <w:overflowPunct/>
        <w:topLinePunct w:val="0"/>
        <w:autoSpaceDN/>
        <w:bidi w:val="0"/>
        <w:adjustRightInd/>
        <w:spacing w:line="400" w:lineRule="exact"/>
        <w:ind w:firstLine="422" w:firstLineChars="200"/>
        <w:jc w:val="both"/>
        <w:textAlignment w:val="auto"/>
        <w:rPr>
          <w:rFonts w:hint="eastAsia" w:ascii="宋体" w:hAnsi="宋体" w:eastAsia="宋体" w:cs="宋体"/>
          <w:b/>
          <w:bCs/>
          <w:sz w:val="21"/>
          <w:szCs w:val="21"/>
          <w:highlight w:val="none"/>
        </w:rPr>
      </w:pPr>
      <w:r>
        <w:rPr>
          <w:rFonts w:hint="eastAsia" w:ascii="宋体" w:hAnsi="宋体" w:eastAsia="宋体" w:cs="宋体"/>
          <w:b/>
          <w:bCs/>
          <w:sz w:val="21"/>
          <w:szCs w:val="21"/>
          <w:highlight w:val="none"/>
        </w:rPr>
        <w:t>（四）</w:t>
      </w:r>
      <w:r>
        <w:rPr>
          <w:rFonts w:hint="eastAsia" w:ascii="宋体" w:hAnsi="宋体" w:eastAsia="宋体" w:cs="宋体"/>
          <w:b/>
          <w:bCs/>
          <w:sz w:val="21"/>
          <w:szCs w:val="21"/>
          <w:highlight w:val="none"/>
          <w:lang w:val="en-US" w:eastAsia="zh-CN"/>
        </w:rPr>
        <w:t>成交</w:t>
      </w:r>
      <w:r>
        <w:rPr>
          <w:rFonts w:hint="eastAsia" w:ascii="宋体" w:hAnsi="宋体" w:eastAsia="宋体" w:cs="宋体"/>
          <w:b/>
          <w:bCs/>
          <w:sz w:val="21"/>
          <w:szCs w:val="21"/>
          <w:highlight w:val="none"/>
        </w:rPr>
        <w:t>候选</w:t>
      </w:r>
      <w:r>
        <w:rPr>
          <w:rFonts w:hint="eastAsia" w:ascii="宋体" w:hAnsi="宋体" w:eastAsia="宋体" w:cs="宋体"/>
          <w:b/>
          <w:bCs/>
          <w:sz w:val="21"/>
          <w:szCs w:val="21"/>
          <w:highlight w:val="none"/>
          <w:lang w:val="en-US" w:eastAsia="zh-CN"/>
        </w:rPr>
        <w:t>供应商</w:t>
      </w:r>
      <w:r>
        <w:rPr>
          <w:rFonts w:hint="eastAsia" w:ascii="宋体" w:hAnsi="宋体" w:eastAsia="宋体" w:cs="宋体"/>
          <w:b/>
          <w:bCs/>
          <w:sz w:val="21"/>
          <w:szCs w:val="21"/>
          <w:highlight w:val="none"/>
        </w:rPr>
        <w:t>推荐原则</w:t>
      </w:r>
    </w:p>
    <w:p w14:paraId="67354302">
      <w:pPr>
        <w:keepNext w:val="0"/>
        <w:keepLines w:val="0"/>
        <w:pageBreakBefore w:val="0"/>
        <w:kinsoku/>
        <w:wordWrap/>
        <w:overflowPunct/>
        <w:topLinePunct w:val="0"/>
        <w:autoSpaceDN/>
        <w:bidi w:val="0"/>
        <w:adjustRightInd/>
        <w:snapToGrid w:val="0"/>
        <w:spacing w:line="400" w:lineRule="exact"/>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1.评审小组将根据得分由高到低排列次序（得分相同时，以</w:t>
      </w:r>
      <w:r>
        <w:rPr>
          <w:rFonts w:hint="eastAsia" w:ascii="宋体" w:hAnsi="宋体" w:eastAsia="宋体" w:cs="宋体"/>
          <w:sz w:val="21"/>
          <w:szCs w:val="21"/>
          <w:highlight w:val="none"/>
          <w:lang w:eastAsia="zh-CN"/>
        </w:rPr>
        <w:t>竞标</w:t>
      </w:r>
      <w:r>
        <w:rPr>
          <w:rFonts w:hint="eastAsia" w:ascii="宋体" w:hAnsi="宋体" w:eastAsia="宋体" w:cs="宋体"/>
          <w:sz w:val="21"/>
          <w:szCs w:val="21"/>
          <w:highlight w:val="none"/>
        </w:rPr>
        <w:t>报价由低到高顺序排列；得分相同且</w:t>
      </w:r>
      <w:r>
        <w:rPr>
          <w:rFonts w:hint="eastAsia" w:ascii="宋体" w:hAnsi="宋体" w:eastAsia="宋体" w:cs="宋体"/>
          <w:sz w:val="21"/>
          <w:szCs w:val="21"/>
          <w:highlight w:val="none"/>
          <w:lang w:eastAsia="zh-CN"/>
        </w:rPr>
        <w:t>竞标</w:t>
      </w:r>
      <w:r>
        <w:rPr>
          <w:rFonts w:hint="eastAsia" w:ascii="宋体" w:hAnsi="宋体" w:eastAsia="宋体" w:cs="宋体"/>
          <w:sz w:val="21"/>
          <w:szCs w:val="21"/>
          <w:highlight w:val="none"/>
        </w:rPr>
        <w:t>报价相同的，按技术实施方案优劣顺序排列）并推荐</w:t>
      </w:r>
      <w:r>
        <w:rPr>
          <w:rFonts w:hint="eastAsia" w:ascii="宋体" w:hAnsi="宋体" w:eastAsia="宋体" w:cs="宋体"/>
          <w:sz w:val="21"/>
          <w:szCs w:val="21"/>
          <w:highlight w:val="none"/>
          <w:lang w:val="en-US" w:eastAsia="zh-CN"/>
        </w:rPr>
        <w:t>成交</w:t>
      </w:r>
      <w:r>
        <w:rPr>
          <w:rFonts w:hint="eastAsia" w:ascii="宋体" w:hAnsi="宋体" w:eastAsia="宋体" w:cs="宋体"/>
          <w:sz w:val="21"/>
          <w:szCs w:val="21"/>
          <w:highlight w:val="none"/>
        </w:rPr>
        <w:t>候选</w:t>
      </w:r>
      <w:r>
        <w:rPr>
          <w:rFonts w:hint="eastAsia" w:ascii="宋体" w:hAnsi="宋体" w:eastAsia="宋体" w:cs="宋体"/>
          <w:sz w:val="21"/>
          <w:szCs w:val="21"/>
          <w:highlight w:val="none"/>
          <w:lang w:val="en-US" w:eastAsia="zh-CN"/>
        </w:rPr>
        <w:t>供应商</w:t>
      </w:r>
      <w:r>
        <w:rPr>
          <w:rFonts w:hint="eastAsia" w:ascii="宋体" w:hAnsi="宋体" w:eastAsia="宋体" w:cs="宋体"/>
          <w:sz w:val="21"/>
          <w:szCs w:val="21"/>
          <w:highlight w:val="none"/>
        </w:rPr>
        <w:t>。采购人应当确定评审小组推荐排名</w:t>
      </w:r>
      <w:r>
        <w:rPr>
          <w:rFonts w:hint="eastAsia" w:ascii="宋体" w:hAnsi="宋体" w:eastAsia="宋体" w:cs="宋体"/>
          <w:b/>
          <w:bCs/>
          <w:sz w:val="21"/>
          <w:szCs w:val="21"/>
          <w:highlight w:val="none"/>
        </w:rPr>
        <w:t>第1</w:t>
      </w:r>
      <w:r>
        <w:rPr>
          <w:rFonts w:hint="eastAsia" w:ascii="宋体" w:hAnsi="宋体" w:eastAsia="宋体" w:cs="宋体"/>
          <w:sz w:val="21"/>
          <w:szCs w:val="21"/>
          <w:highlight w:val="none"/>
        </w:rPr>
        <w:t>的候选人为成交供应商。</w:t>
      </w:r>
    </w:p>
    <w:p w14:paraId="3882E168">
      <w:pPr>
        <w:pStyle w:val="25"/>
        <w:keepNext w:val="0"/>
        <w:keepLines w:val="0"/>
        <w:pageBreakBefore w:val="0"/>
        <w:tabs>
          <w:tab w:val="left" w:pos="2520"/>
        </w:tabs>
        <w:kinsoku/>
        <w:wordWrap/>
        <w:overflowPunct/>
        <w:topLinePunct w:val="0"/>
        <w:autoSpaceDE w:val="0"/>
        <w:autoSpaceDN/>
        <w:bidi w:val="0"/>
        <w:adjustRightInd/>
        <w:spacing w:line="400" w:lineRule="exact"/>
        <w:ind w:firstLine="420" w:firstLineChars="200"/>
        <w:jc w:val="both"/>
        <w:textAlignment w:val="auto"/>
        <w:rPr>
          <w:rFonts w:hint="eastAsia" w:ascii="宋体" w:hAnsi="宋体" w:eastAsia="宋体" w:cs="宋体"/>
          <w:sz w:val="21"/>
          <w:szCs w:val="21"/>
          <w:highlight w:val="none"/>
        </w:rPr>
      </w:pPr>
      <w:r>
        <w:rPr>
          <w:rFonts w:hint="eastAsia" w:ascii="宋体" w:hAnsi="宋体" w:eastAsia="宋体" w:cs="宋体"/>
          <w:sz w:val="21"/>
          <w:szCs w:val="21"/>
          <w:highlight w:val="none"/>
        </w:rPr>
        <w:t>2.评审小组成员对需要共同认定的事项存在争议的，应当按照少数服从多数的原则作出结论。持不同意见的评审小组成员应当在表决单上签署不同意见及理由，否则视为同意。</w:t>
      </w:r>
    </w:p>
    <w:p w14:paraId="7F45DD64">
      <w:pPr>
        <w:pStyle w:val="13"/>
        <w:keepNext w:val="0"/>
        <w:keepLines w:val="0"/>
        <w:pageBreakBefore w:val="0"/>
        <w:kinsoku/>
        <w:wordWrap/>
        <w:overflowPunct/>
        <w:topLinePunct w:val="0"/>
        <w:autoSpaceDN/>
        <w:bidi w:val="0"/>
        <w:adjustRightInd/>
        <w:spacing w:line="400" w:lineRule="exact"/>
        <w:ind w:left="0" w:firstLine="422" w:firstLineChars="200"/>
        <w:jc w:val="both"/>
        <w:textAlignment w:val="auto"/>
        <w:rPr>
          <w:rFonts w:hint="eastAsia" w:ascii="宋体" w:hAnsi="宋体" w:eastAsia="宋体" w:cs="宋体"/>
          <w:b/>
          <w:bCs/>
          <w:sz w:val="21"/>
          <w:szCs w:val="21"/>
          <w:highlight w:val="none"/>
        </w:rPr>
      </w:pPr>
      <w:bookmarkStart w:id="170" w:name="_Toc15851"/>
      <w:bookmarkStart w:id="171" w:name="_Toc13731"/>
      <w:bookmarkStart w:id="172" w:name="_Toc10446"/>
      <w:bookmarkStart w:id="173" w:name="_Toc551"/>
      <w:bookmarkStart w:id="174" w:name="_Toc32230"/>
      <w:bookmarkStart w:id="175" w:name="_Toc8185"/>
      <w:bookmarkStart w:id="176" w:name="_Toc29345"/>
      <w:bookmarkStart w:id="177" w:name="_Toc21967"/>
      <w:bookmarkStart w:id="178" w:name="_Toc5847"/>
      <w:bookmarkStart w:id="179" w:name="_Toc4273"/>
      <w:bookmarkStart w:id="180" w:name="_Toc21245"/>
      <w:bookmarkStart w:id="181" w:name="_Toc30393"/>
      <w:bookmarkStart w:id="182" w:name="_Toc20797"/>
      <w:bookmarkStart w:id="183" w:name="_Toc5493"/>
      <w:r>
        <w:rPr>
          <w:rFonts w:hint="eastAsia" w:ascii="宋体" w:hAnsi="宋体" w:eastAsia="宋体" w:cs="宋体"/>
          <w:b/>
          <w:bCs/>
          <w:sz w:val="21"/>
          <w:szCs w:val="21"/>
          <w:highlight w:val="none"/>
        </w:rPr>
        <w:t>（五）评分方法</w:t>
      </w:r>
    </w:p>
    <w:tbl>
      <w:tblPr>
        <w:tblStyle w:val="42"/>
        <w:tblW w:w="96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416"/>
        <w:gridCol w:w="825"/>
        <w:gridCol w:w="904"/>
        <w:gridCol w:w="7526"/>
      </w:tblGrid>
      <w:tr w14:paraId="1225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69F336E4">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sz w:val="21"/>
                <w:szCs w:val="21"/>
                <w:highlight w:val="none"/>
                <w:lang w:val="en-US" w:eastAsia="zh-CN"/>
              </w:rPr>
            </w:pPr>
            <w:bookmarkStart w:id="184" w:name="_Toc10870"/>
            <w:bookmarkStart w:id="185" w:name="_Toc4260"/>
            <w:bookmarkStart w:id="186" w:name="_Toc9725"/>
            <w:bookmarkStart w:id="187" w:name="_Toc2238"/>
            <w:bookmarkStart w:id="188" w:name="_Toc21070"/>
            <w:bookmarkStart w:id="189" w:name="_Toc6971"/>
            <w:bookmarkStart w:id="190" w:name="_Toc13232"/>
            <w:bookmarkStart w:id="191" w:name="_Toc4141"/>
            <w:bookmarkStart w:id="192" w:name="_Toc3450"/>
            <w:r>
              <w:rPr>
                <w:rFonts w:hint="eastAsia" w:asciiTheme="minorEastAsia" w:hAnsiTheme="minorEastAsia" w:eastAsiaTheme="minorEastAsia" w:cstheme="minorEastAsia"/>
                <w:b/>
                <w:bCs/>
                <w:sz w:val="21"/>
                <w:szCs w:val="21"/>
                <w:highlight w:val="none"/>
                <w:lang w:val="en-US" w:eastAsia="zh-CN"/>
              </w:rPr>
              <w:t>评审因素</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618BC289">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评审标准</w:t>
            </w:r>
          </w:p>
        </w:tc>
      </w:tr>
      <w:tr w14:paraId="5D97D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416" w:type="dxa"/>
            <w:vMerge w:val="restart"/>
            <w:tcBorders>
              <w:top w:val="single" w:color="auto" w:sz="4" w:space="0"/>
              <w:left w:val="single" w:color="auto" w:sz="4" w:space="0"/>
              <w:right w:val="single" w:color="auto" w:sz="4" w:space="0"/>
            </w:tcBorders>
            <w:noWrap w:val="0"/>
            <w:vAlign w:val="center"/>
          </w:tcPr>
          <w:p w14:paraId="12A3681A">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1</w:t>
            </w:r>
          </w:p>
        </w:tc>
        <w:tc>
          <w:tcPr>
            <w:tcW w:w="825" w:type="dxa"/>
            <w:vMerge w:val="restart"/>
            <w:tcBorders>
              <w:top w:val="single" w:color="auto" w:sz="4" w:space="0"/>
              <w:left w:val="single" w:color="auto" w:sz="4" w:space="0"/>
              <w:right w:val="single" w:color="auto" w:sz="4" w:space="0"/>
            </w:tcBorders>
            <w:noWrap w:val="0"/>
            <w:vAlign w:val="center"/>
          </w:tcPr>
          <w:p w14:paraId="28C942A1">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商务</w:t>
            </w:r>
          </w:p>
          <w:p w14:paraId="583BCF86">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（10分）</w:t>
            </w:r>
          </w:p>
        </w:tc>
        <w:tc>
          <w:tcPr>
            <w:tcW w:w="904" w:type="dxa"/>
            <w:tcBorders>
              <w:top w:val="single" w:color="auto" w:sz="4" w:space="0"/>
              <w:left w:val="single" w:color="auto" w:sz="4" w:space="0"/>
              <w:bottom w:val="single" w:color="auto" w:sz="4" w:space="0"/>
              <w:right w:val="single" w:color="auto" w:sz="4" w:space="0"/>
            </w:tcBorders>
            <w:noWrap w:val="0"/>
            <w:vAlign w:val="center"/>
          </w:tcPr>
          <w:p w14:paraId="51F4A142">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业绩</w:t>
            </w:r>
          </w:p>
          <w:p w14:paraId="5C8F7EE6">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（7分）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614D6D2F">
            <w:pPr>
              <w:pStyle w:val="25"/>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hAnsi="宋体" w:eastAsia="宋体" w:cs="宋体"/>
                <w:bCs/>
                <w:sz w:val="21"/>
                <w:szCs w:val="21"/>
                <w:highlight w:val="none"/>
                <w:lang w:val="en-US" w:eastAsia="zh-CN"/>
              </w:rPr>
              <w:t>供应商</w:t>
            </w:r>
            <w:r>
              <w:rPr>
                <w:rFonts w:hint="eastAsia" w:ascii="宋体" w:hAnsi="宋体" w:eastAsia="宋体" w:cs="宋体"/>
                <w:bCs/>
                <w:sz w:val="21"/>
                <w:szCs w:val="21"/>
                <w:highlight w:val="none"/>
                <w:lang w:val="en-US" w:eastAsia="zh-CN"/>
              </w:rPr>
              <w:t>自20</w:t>
            </w:r>
            <w:r>
              <w:rPr>
                <w:rFonts w:hint="eastAsia" w:hAnsi="宋体" w:eastAsia="宋体" w:cs="宋体"/>
                <w:bCs/>
                <w:sz w:val="21"/>
                <w:szCs w:val="21"/>
                <w:highlight w:val="none"/>
                <w:lang w:val="en-US" w:eastAsia="zh-CN"/>
              </w:rPr>
              <w:t>24</w:t>
            </w:r>
            <w:r>
              <w:rPr>
                <w:rFonts w:hint="eastAsia" w:ascii="宋体" w:hAnsi="宋体" w:eastAsia="宋体" w:cs="宋体"/>
                <w:bCs/>
                <w:sz w:val="21"/>
                <w:szCs w:val="21"/>
                <w:highlight w:val="none"/>
                <w:lang w:val="en-US" w:eastAsia="zh-CN"/>
              </w:rPr>
              <w:t>年1月1日以来</w:t>
            </w:r>
            <w:r>
              <w:rPr>
                <w:rFonts w:hint="eastAsia" w:hAnsi="宋体" w:eastAsia="宋体" w:cs="宋体"/>
                <w:bCs/>
                <w:sz w:val="21"/>
                <w:szCs w:val="21"/>
                <w:highlight w:val="none"/>
                <w:lang w:val="en-US" w:eastAsia="zh-CN"/>
              </w:rPr>
              <w:t>至今自评估</w:t>
            </w:r>
            <w:r>
              <w:rPr>
                <w:rFonts w:hint="eastAsia" w:ascii="宋体" w:hAnsi="宋体" w:eastAsia="宋体" w:cs="宋体"/>
                <w:bCs/>
                <w:sz w:val="21"/>
                <w:szCs w:val="21"/>
                <w:highlight w:val="none"/>
                <w:lang w:val="en-US" w:eastAsia="zh-CN"/>
              </w:rPr>
              <w:t>项目业绩，每提供一个得</w:t>
            </w:r>
            <w:r>
              <w:rPr>
                <w:rFonts w:hint="eastAsia" w:hAnsi="宋体" w:eastAsia="宋体" w:cs="宋体"/>
                <w:bCs/>
                <w:sz w:val="21"/>
                <w:szCs w:val="21"/>
                <w:highlight w:val="none"/>
                <w:lang w:val="en-US" w:eastAsia="zh-CN"/>
              </w:rPr>
              <w:t>1</w:t>
            </w:r>
            <w:r>
              <w:rPr>
                <w:rFonts w:hint="eastAsia" w:ascii="宋体" w:hAnsi="宋体" w:eastAsia="宋体" w:cs="宋体"/>
                <w:bCs/>
                <w:sz w:val="21"/>
                <w:szCs w:val="21"/>
                <w:highlight w:val="none"/>
                <w:lang w:val="en-US" w:eastAsia="zh-CN"/>
              </w:rPr>
              <w:t>分，满分</w:t>
            </w:r>
            <w:r>
              <w:rPr>
                <w:rFonts w:hint="eastAsia" w:hAnsi="宋体" w:eastAsia="宋体" w:cs="宋体"/>
                <w:bCs/>
                <w:sz w:val="21"/>
                <w:szCs w:val="21"/>
                <w:highlight w:val="none"/>
                <w:lang w:val="en-US" w:eastAsia="zh-CN"/>
              </w:rPr>
              <w:t>7</w:t>
            </w:r>
            <w:r>
              <w:rPr>
                <w:rFonts w:hint="eastAsia" w:ascii="宋体" w:hAnsi="宋体" w:eastAsia="宋体" w:cs="宋体"/>
                <w:bCs/>
                <w:sz w:val="21"/>
                <w:szCs w:val="21"/>
                <w:highlight w:val="none"/>
                <w:lang w:val="en-US" w:eastAsia="zh-CN"/>
              </w:rPr>
              <w:t>分。</w:t>
            </w:r>
          </w:p>
          <w:p w14:paraId="679C321E">
            <w:pPr>
              <w:pStyle w:val="25"/>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sz w:val="21"/>
                <w:szCs w:val="21"/>
                <w:highlight w:val="none"/>
                <w:lang w:val="en-US" w:eastAsia="zh-CN"/>
              </w:rPr>
              <w:t>合同以签订时间为准，能清晰反映项目名称、合同执行时间、及合同双方盖章等内容，如有缺漏，视为无效业绩</w:t>
            </w:r>
            <w:r>
              <w:rPr>
                <w:rFonts w:hint="eastAsia" w:ascii="宋体" w:hAnsi="宋体" w:eastAsia="宋体" w:cs="宋体"/>
                <w:sz w:val="21"/>
                <w:szCs w:val="21"/>
                <w:highlight w:val="none"/>
                <w:lang w:val="en-US" w:eastAsia="zh-CN"/>
              </w:rPr>
              <w:t>。提供合同复印件并加盖供应商公章。</w:t>
            </w:r>
          </w:p>
        </w:tc>
      </w:tr>
      <w:tr w14:paraId="2BAA4C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416" w:type="dxa"/>
            <w:vMerge w:val="continue"/>
            <w:tcBorders>
              <w:left w:val="single" w:color="auto" w:sz="4" w:space="0"/>
              <w:right w:val="single" w:color="auto" w:sz="4" w:space="0"/>
            </w:tcBorders>
            <w:noWrap w:val="0"/>
            <w:vAlign w:val="center"/>
          </w:tcPr>
          <w:p w14:paraId="6DF77016">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7EEAC612">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904" w:type="dxa"/>
            <w:tcBorders>
              <w:top w:val="single" w:color="auto" w:sz="4" w:space="0"/>
              <w:left w:val="single" w:color="auto" w:sz="4" w:space="0"/>
              <w:bottom w:val="single" w:color="auto" w:sz="4" w:space="0"/>
              <w:right w:val="single" w:color="auto" w:sz="4" w:space="0"/>
            </w:tcBorders>
            <w:noWrap w:val="0"/>
            <w:vAlign w:val="center"/>
          </w:tcPr>
          <w:p w14:paraId="4D4C5DCE">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资质情况</w:t>
            </w:r>
          </w:p>
          <w:p w14:paraId="7AD0E72E">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3</w:t>
            </w:r>
            <w:r>
              <w:rPr>
                <w:rFonts w:hint="eastAsia" w:ascii="宋体" w:hAnsi="宋体" w:eastAsia="宋体" w:cs="宋体"/>
                <w:bCs/>
                <w:sz w:val="21"/>
                <w:szCs w:val="21"/>
                <w:highlight w:val="none"/>
                <w:lang w:val="en-US" w:eastAsia="zh-CN"/>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025EB96E">
            <w:pPr>
              <w:pStyle w:val="2"/>
              <w:keepNext w:val="0"/>
              <w:keepLines w:val="0"/>
              <w:pageBreakBefore w:val="0"/>
              <w:shd w:val="clear"/>
              <w:wordWrap/>
              <w:topLinePunct w:val="0"/>
              <w:autoSpaceDE/>
              <w:autoSpaceDN/>
              <w:bidi w:val="0"/>
              <w:spacing w:after="0" w:line="380" w:lineRule="exact"/>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bCs/>
                <w:kern w:val="2"/>
                <w:sz w:val="21"/>
                <w:szCs w:val="21"/>
                <w:highlight w:val="none"/>
                <w:lang w:val="en-US" w:eastAsia="zh-CN" w:bidi="ar-SA"/>
              </w:rPr>
              <w:t>供应商具有以下相关认证证书，每提供1个有效证书得1分，满分</w:t>
            </w:r>
            <w:r>
              <w:rPr>
                <w:rFonts w:hint="eastAsia" w:ascii="宋体" w:hAnsi="宋体" w:cs="宋体"/>
                <w:bCs/>
                <w:kern w:val="2"/>
                <w:sz w:val="21"/>
                <w:szCs w:val="21"/>
                <w:highlight w:val="none"/>
                <w:lang w:val="en-US" w:eastAsia="zh-CN" w:bidi="ar-SA"/>
              </w:rPr>
              <w:t>3</w:t>
            </w:r>
            <w:r>
              <w:rPr>
                <w:rFonts w:hint="eastAsia" w:ascii="宋体" w:hAnsi="宋体" w:eastAsia="宋体" w:cs="宋体"/>
                <w:bCs/>
                <w:kern w:val="2"/>
                <w:sz w:val="21"/>
                <w:szCs w:val="21"/>
                <w:highlight w:val="none"/>
                <w:lang w:val="en-US" w:eastAsia="zh-CN" w:bidi="ar-SA"/>
              </w:rPr>
              <w:t>分：</w:t>
            </w:r>
          </w:p>
          <w:p w14:paraId="6E451279">
            <w:pPr>
              <w:pStyle w:val="2"/>
              <w:keepNext w:val="0"/>
              <w:keepLines w:val="0"/>
              <w:pageBreakBefore w:val="0"/>
              <w:numPr>
                <w:ilvl w:val="0"/>
                <w:numId w:val="6"/>
              </w:numPr>
              <w:shd w:val="clear"/>
              <w:wordWrap/>
              <w:topLinePunct w:val="0"/>
              <w:autoSpaceDE/>
              <w:autoSpaceDN/>
              <w:bidi w:val="0"/>
              <w:spacing w:after="0" w:line="380" w:lineRule="exact"/>
              <w:textAlignment w:val="auto"/>
              <w:rPr>
                <w:rFonts w:hint="default" w:ascii="宋体" w:hAnsi="宋体" w:eastAsia="宋体" w:cs="宋体"/>
                <w:bCs/>
                <w:kern w:val="2"/>
                <w:sz w:val="21"/>
                <w:szCs w:val="21"/>
                <w:highlight w:val="none"/>
                <w:lang w:val="en-US" w:eastAsia="zh-CN" w:bidi="ar-SA"/>
              </w:rPr>
            </w:pPr>
            <w:r>
              <w:rPr>
                <w:rFonts w:hint="default" w:ascii="宋体" w:hAnsi="宋体" w:eastAsia="宋体" w:cs="宋体"/>
                <w:bCs/>
                <w:kern w:val="2"/>
                <w:sz w:val="21"/>
                <w:szCs w:val="21"/>
                <w:highlight w:val="none"/>
                <w:lang w:val="en-US" w:eastAsia="zh-CN" w:bidi="ar-SA"/>
              </w:rPr>
              <w:t>信息安全管理体系认证证书；</w:t>
            </w:r>
          </w:p>
          <w:p w14:paraId="71A43970">
            <w:pPr>
              <w:pStyle w:val="2"/>
              <w:keepNext w:val="0"/>
              <w:keepLines w:val="0"/>
              <w:pageBreakBefore w:val="0"/>
              <w:numPr>
                <w:ilvl w:val="0"/>
                <w:numId w:val="6"/>
              </w:numPr>
              <w:shd w:val="clear"/>
              <w:wordWrap/>
              <w:topLinePunct w:val="0"/>
              <w:autoSpaceDE/>
              <w:autoSpaceDN/>
              <w:bidi w:val="0"/>
              <w:spacing w:after="0" w:line="380" w:lineRule="exact"/>
              <w:textAlignment w:val="auto"/>
              <w:rPr>
                <w:rFonts w:hint="eastAsia" w:ascii="宋体" w:hAnsi="宋体" w:eastAsia="宋体" w:cs="宋体"/>
                <w:sz w:val="21"/>
                <w:szCs w:val="21"/>
                <w:highlight w:val="none"/>
                <w:lang w:val="en-US" w:eastAsia="zh-CN"/>
              </w:rPr>
            </w:pPr>
            <w:r>
              <w:rPr>
                <w:rFonts w:hint="default" w:ascii="宋体" w:hAnsi="宋体" w:eastAsia="宋体" w:cs="宋体"/>
                <w:bCs/>
                <w:kern w:val="2"/>
                <w:sz w:val="21"/>
                <w:szCs w:val="21"/>
                <w:highlight w:val="none"/>
                <w:lang w:val="en-US" w:eastAsia="zh-CN" w:bidi="ar-SA"/>
              </w:rPr>
              <w:t>质量管理体系认证证书；</w:t>
            </w:r>
          </w:p>
          <w:p w14:paraId="503BE915">
            <w:pPr>
              <w:pStyle w:val="2"/>
              <w:numPr>
                <w:ilvl w:val="0"/>
                <w:numId w:val="6"/>
              </w:numPr>
              <w:spacing w:line="380" w:lineRule="exact"/>
              <w:ind w:left="0" w:leftChars="0" w:firstLine="0" w:firstLineChars="0"/>
              <w:rPr>
                <w:rFonts w:hint="eastAsia" w:ascii="宋体" w:hAnsi="宋体" w:eastAsia="宋体" w:cs="宋体"/>
                <w:sz w:val="21"/>
                <w:szCs w:val="21"/>
                <w:highlight w:val="none"/>
                <w:lang w:val="en-US" w:eastAsia="zh-CN"/>
              </w:rPr>
            </w:pPr>
            <w:r>
              <w:rPr>
                <w:rFonts w:hint="default" w:ascii="宋体" w:hAnsi="宋体" w:eastAsia="宋体" w:cs="宋体"/>
                <w:bCs/>
                <w:kern w:val="2"/>
                <w:sz w:val="21"/>
                <w:szCs w:val="21"/>
                <w:highlight w:val="none"/>
                <w:lang w:val="en-US" w:eastAsia="zh-CN" w:bidi="ar-SA"/>
              </w:rPr>
              <w:t>数据安全相关认证证书；</w:t>
            </w:r>
          </w:p>
          <w:p w14:paraId="49F808C8">
            <w:pPr>
              <w:pStyle w:val="2"/>
              <w:keepNext w:val="0"/>
              <w:keepLines w:val="0"/>
              <w:pageBreakBefore w:val="0"/>
              <w:numPr>
                <w:ilvl w:val="0"/>
                <w:numId w:val="0"/>
              </w:numPr>
              <w:shd w:val="clear"/>
              <w:wordWrap/>
              <w:topLinePunct w:val="0"/>
              <w:autoSpaceDE/>
              <w:autoSpaceDN/>
              <w:bidi w:val="0"/>
              <w:spacing w:after="0" w:line="380" w:lineRule="exact"/>
              <w:ind w:left="0" w:leftChars="0" w:firstLine="0" w:firstLineChars="0"/>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kern w:val="2"/>
                <w:sz w:val="21"/>
                <w:szCs w:val="21"/>
                <w:highlight w:val="none"/>
                <w:lang w:val="en-US" w:eastAsia="zh-CN" w:bidi="ar-SA"/>
              </w:rPr>
              <w:t>注</w:t>
            </w:r>
            <w:r>
              <w:rPr>
                <w:rFonts w:hint="default" w:ascii="宋体" w:hAnsi="宋体" w:eastAsia="宋体" w:cs="宋体"/>
                <w:bCs/>
                <w:kern w:val="2"/>
                <w:sz w:val="21"/>
                <w:szCs w:val="21"/>
                <w:highlight w:val="none"/>
                <w:lang w:val="en-US" w:eastAsia="zh-CN" w:bidi="ar-SA"/>
              </w:rPr>
              <w:t>：提供证书复印件并加盖公章，所有证书须在有效期内。</w:t>
            </w:r>
          </w:p>
        </w:tc>
      </w:tr>
      <w:tr w14:paraId="2FA1F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416" w:type="dxa"/>
            <w:vMerge w:val="restart"/>
            <w:tcBorders>
              <w:top w:val="single" w:color="auto" w:sz="4" w:space="0"/>
              <w:left w:val="single" w:color="auto" w:sz="4" w:space="0"/>
              <w:right w:val="single" w:color="auto" w:sz="4" w:space="0"/>
            </w:tcBorders>
            <w:noWrap w:val="0"/>
            <w:vAlign w:val="center"/>
          </w:tcPr>
          <w:p w14:paraId="593A2DAC">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25" w:type="dxa"/>
            <w:vMerge w:val="restart"/>
            <w:tcBorders>
              <w:top w:val="single" w:color="auto" w:sz="4" w:space="0"/>
              <w:left w:val="single" w:color="auto" w:sz="4" w:space="0"/>
              <w:right w:val="single" w:color="auto" w:sz="4" w:space="0"/>
            </w:tcBorders>
            <w:noWrap w:val="0"/>
            <w:vAlign w:val="center"/>
          </w:tcPr>
          <w:p w14:paraId="7764E103">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技术</w:t>
            </w:r>
          </w:p>
          <w:p w14:paraId="76B65461">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（60分）</w:t>
            </w:r>
          </w:p>
        </w:tc>
        <w:tc>
          <w:tcPr>
            <w:tcW w:w="904" w:type="dxa"/>
            <w:tcBorders>
              <w:top w:val="single" w:color="auto" w:sz="4" w:space="0"/>
              <w:left w:val="single" w:color="auto" w:sz="4" w:space="0"/>
              <w:right w:val="single" w:color="auto" w:sz="4" w:space="0"/>
            </w:tcBorders>
            <w:noWrap w:val="0"/>
            <w:vAlign w:val="center"/>
          </w:tcPr>
          <w:p w14:paraId="6FA28798">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实际配置人员</w:t>
            </w:r>
          </w:p>
          <w:p w14:paraId="64BB39EC">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15</w:t>
            </w:r>
            <w:r>
              <w:rPr>
                <w:rFonts w:hint="eastAsia" w:ascii="宋体" w:hAnsi="宋体" w:eastAsia="宋体" w:cs="宋体"/>
                <w:bCs/>
                <w:sz w:val="21"/>
                <w:szCs w:val="21"/>
                <w:highlight w:val="none"/>
                <w:lang w:val="en-US" w:eastAsia="zh-CN"/>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64A0A3D7">
            <w:pPr>
              <w:pStyle w:val="25"/>
              <w:shd w:val="clea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根据供应商拟投入本项目的实际人员配置情况</w:t>
            </w:r>
            <w:r>
              <w:rPr>
                <w:rFonts w:hint="eastAsia" w:ascii="宋体" w:hAnsi="宋体" w:eastAsia="宋体" w:cs="宋体"/>
                <w:kern w:val="2"/>
                <w:sz w:val="21"/>
                <w:szCs w:val="21"/>
                <w:highlight w:val="none"/>
                <w:lang w:val="en-US" w:eastAsia="zh-CN" w:bidi="ar-SA"/>
              </w:rPr>
              <w:t>进行独立评审并按以下规定独立打分</w:t>
            </w:r>
            <w:r>
              <w:rPr>
                <w:rFonts w:hint="eastAsia" w:ascii="宋体" w:hAnsi="宋体" w:eastAsia="宋体" w:cs="宋体"/>
                <w:sz w:val="21"/>
                <w:szCs w:val="21"/>
                <w:highlight w:val="none"/>
                <w:lang w:eastAsia="zh-CN"/>
              </w:rPr>
              <w:t>：</w:t>
            </w:r>
          </w:p>
          <w:p w14:paraId="3D0F247C">
            <w:pPr>
              <w:pStyle w:val="25"/>
              <w:shd w:val="clea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一档（0</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w:t>
            </w:r>
            <w:r>
              <w:rPr>
                <w:rFonts w:hint="eastAsia" w:hAnsi="宋体" w:eastAsia="宋体" w:cs="宋体"/>
                <w:sz w:val="21"/>
                <w:szCs w:val="21"/>
                <w:highlight w:val="none"/>
                <w:lang w:val="en-US" w:eastAsia="zh-CN"/>
              </w:rPr>
              <w:t>5</w:t>
            </w:r>
            <w:r>
              <w:rPr>
                <w:rFonts w:hint="eastAsia" w:ascii="宋体" w:hAnsi="宋体" w:eastAsia="宋体" w:cs="宋体"/>
                <w:sz w:val="21"/>
                <w:szCs w:val="21"/>
                <w:highlight w:val="none"/>
                <w:lang w:eastAsia="zh-CN"/>
              </w:rPr>
              <w:t xml:space="preserve"> 分）：</w:t>
            </w:r>
            <w:r>
              <w:rPr>
                <w:rFonts w:hint="eastAsia" w:ascii="宋体" w:hAnsi="宋体" w:eastAsia="宋体" w:cs="宋体"/>
                <w:highlight w:val="none"/>
              </w:rPr>
              <w:t>人员配置简单，</w:t>
            </w:r>
            <w:r>
              <w:rPr>
                <w:rFonts w:hint="eastAsia" w:ascii="宋体" w:hAnsi="宋体" w:eastAsia="宋体" w:cs="宋体"/>
                <w:sz w:val="21"/>
                <w:szCs w:val="21"/>
                <w:highlight w:val="none"/>
                <w:lang w:val="en-US" w:eastAsia="zh-CN"/>
              </w:rPr>
              <w:t>项目团队的人数</w:t>
            </w:r>
            <w:r>
              <w:rPr>
                <w:rFonts w:hint="eastAsia" w:hAnsi="宋体" w:eastAsia="宋体" w:cs="宋体"/>
                <w:highlight w:val="none"/>
                <w:lang w:val="en-US" w:eastAsia="zh-CN"/>
              </w:rPr>
              <w:t>少于3人、团队负责人</w:t>
            </w:r>
            <w:r>
              <w:rPr>
                <w:rFonts w:hint="eastAsia" w:ascii="宋体" w:hAnsi="宋体" w:eastAsia="宋体" w:cs="宋体"/>
                <w:sz w:val="21"/>
                <w:szCs w:val="21"/>
                <w:highlight w:val="none"/>
                <w:lang w:val="en-US" w:eastAsia="zh-CN"/>
              </w:rPr>
              <w:t>验</w:t>
            </w:r>
            <w:r>
              <w:rPr>
                <w:rFonts w:hint="eastAsia" w:hAnsi="宋体" w:eastAsia="宋体" w:cs="宋体"/>
                <w:sz w:val="21"/>
                <w:szCs w:val="21"/>
                <w:highlight w:val="none"/>
                <w:lang w:val="en-US" w:eastAsia="zh-CN"/>
              </w:rPr>
              <w:t>无银行业自评估经验</w:t>
            </w:r>
            <w:r>
              <w:rPr>
                <w:rFonts w:hint="eastAsia" w:ascii="宋体" w:hAnsi="宋体" w:eastAsia="宋体" w:cs="宋体"/>
                <w:sz w:val="21"/>
                <w:szCs w:val="21"/>
                <w:highlight w:val="none"/>
                <w:lang w:val="en-US" w:eastAsia="zh-CN"/>
              </w:rPr>
              <w:t>基本满足项目需求</w:t>
            </w:r>
            <w:r>
              <w:rPr>
                <w:rFonts w:hint="eastAsia" w:hAnsi="宋体" w:eastAsia="宋体" w:cs="宋体"/>
                <w:sz w:val="21"/>
                <w:szCs w:val="21"/>
                <w:highlight w:val="none"/>
                <w:lang w:val="en-US" w:eastAsia="zh-CN"/>
              </w:rPr>
              <w:t>，</w:t>
            </w:r>
            <w:r>
              <w:rPr>
                <w:rFonts w:hint="eastAsia" w:ascii="宋体" w:hAnsi="宋体" w:eastAsia="宋体" w:cs="宋体"/>
                <w:highlight w:val="none"/>
              </w:rPr>
              <w:t>管理方式一般</w:t>
            </w:r>
            <w:r>
              <w:rPr>
                <w:rFonts w:hint="eastAsia" w:ascii="宋体" w:hAnsi="宋体" w:eastAsia="宋体" w:cs="宋体"/>
                <w:sz w:val="21"/>
                <w:szCs w:val="21"/>
                <w:highlight w:val="none"/>
                <w:lang w:eastAsia="zh-CN"/>
              </w:rPr>
              <w:t>；</w:t>
            </w:r>
          </w:p>
          <w:p w14:paraId="189FB9A4">
            <w:pPr>
              <w:keepNext w:val="0"/>
              <w:keepLines w:val="0"/>
              <w:pageBreakBefore w:val="0"/>
              <w:widowControl w:val="0"/>
              <w:shd w:val="clear"/>
              <w:kinsoku/>
              <w:wordWrap/>
              <w:overflowPunct/>
              <w:topLinePunct w:val="0"/>
              <w:autoSpaceDE/>
              <w:autoSpaceDN/>
              <w:bidi w:val="0"/>
              <w:adjustRightInd/>
              <w:snapToGrid/>
              <w:spacing w:line="38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lang w:eastAsia="zh-CN"/>
              </w:rPr>
              <w:t>二档（</w:t>
            </w:r>
            <w:r>
              <w:rPr>
                <w:rFonts w:hint="eastAsia" w:hAnsi="宋体" w:eastAsia="宋体" w:cs="宋体"/>
                <w:sz w:val="21"/>
                <w:szCs w:val="21"/>
                <w:highlight w:val="none"/>
                <w:lang w:val="en-US" w:eastAsia="zh-CN"/>
              </w:rPr>
              <w:t>5.1</w:t>
            </w:r>
            <w:r>
              <w:rPr>
                <w:rFonts w:hint="eastAsia" w:ascii="宋体" w:hAnsi="宋体" w:eastAsia="宋体" w:cs="宋体"/>
                <w:sz w:val="21"/>
                <w:szCs w:val="21"/>
                <w:highlight w:val="none"/>
                <w:lang w:eastAsia="zh-CN"/>
              </w:rPr>
              <w:t>-</w:t>
            </w:r>
            <w:r>
              <w:rPr>
                <w:rFonts w:hint="eastAsia" w:hAnsi="宋体" w:eastAsia="宋体" w:cs="宋体"/>
                <w:sz w:val="21"/>
                <w:szCs w:val="21"/>
                <w:highlight w:val="none"/>
                <w:lang w:val="en-US" w:eastAsia="zh-CN"/>
              </w:rPr>
              <w:t>10</w:t>
            </w:r>
            <w:r>
              <w:rPr>
                <w:rFonts w:hint="eastAsia" w:ascii="宋体" w:hAnsi="宋体" w:eastAsia="宋体" w:cs="宋体"/>
                <w:sz w:val="21"/>
                <w:szCs w:val="21"/>
                <w:highlight w:val="none"/>
                <w:lang w:eastAsia="zh-CN"/>
              </w:rPr>
              <w:t xml:space="preserve"> 分）：</w:t>
            </w:r>
            <w:r>
              <w:rPr>
                <w:rFonts w:hint="eastAsia" w:ascii="宋体" w:hAnsi="宋体" w:eastAsia="宋体" w:cs="宋体"/>
                <w:highlight w:val="none"/>
              </w:rPr>
              <w:t>人员配置合理，规章管理制度基本满足项目服务需求；具有管理服务运作流程，有一定的针对性和操作性，管理方式比较科学</w:t>
            </w:r>
            <w:r>
              <w:rPr>
                <w:rFonts w:hint="eastAsia" w:ascii="宋体" w:hAnsi="宋体" w:eastAsia="宋体" w:cs="宋体"/>
                <w:highlight w:val="none"/>
                <w:lang w:eastAsia="zh-CN"/>
              </w:rPr>
              <w:t>，</w:t>
            </w:r>
            <w:r>
              <w:rPr>
                <w:rFonts w:hint="eastAsia" w:ascii="宋体" w:hAnsi="宋体" w:eastAsia="宋体" w:cs="宋体"/>
                <w:sz w:val="21"/>
                <w:szCs w:val="21"/>
                <w:highlight w:val="none"/>
                <w:lang w:val="en-US" w:eastAsia="zh-CN"/>
              </w:rPr>
              <w:t>符合项目要求</w:t>
            </w:r>
            <w:r>
              <w:rPr>
                <w:rFonts w:hint="eastAsia" w:ascii="宋体" w:hAnsi="宋体" w:cs="宋体"/>
                <w:sz w:val="21"/>
                <w:szCs w:val="21"/>
                <w:highlight w:val="none"/>
                <w:lang w:val="en-US" w:eastAsia="zh-CN"/>
              </w:rPr>
              <w:t>；</w:t>
            </w:r>
          </w:p>
          <w:p w14:paraId="57CA7BCA">
            <w:pPr>
              <w:pStyle w:val="25"/>
              <w:shd w:val="clea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三档（1</w:t>
            </w:r>
            <w:r>
              <w:rPr>
                <w:rFonts w:hint="eastAsia" w:ascii="宋体" w:hAnsi="宋体" w:eastAsia="宋体" w:cs="宋体"/>
                <w:sz w:val="21"/>
                <w:szCs w:val="21"/>
                <w:highlight w:val="none"/>
                <w:lang w:val="en-US" w:eastAsia="zh-CN"/>
              </w:rPr>
              <w:t>0.</w:t>
            </w:r>
            <w:r>
              <w:rPr>
                <w:rFonts w:hint="eastAsia" w:hAnsi="宋体" w:eastAsia="宋体" w:cs="宋体"/>
                <w:sz w:val="21"/>
                <w:szCs w:val="21"/>
                <w:highlight w:val="none"/>
                <w:lang w:val="en-US" w:eastAsia="zh-CN"/>
              </w:rPr>
              <w:t>1-15</w:t>
            </w:r>
            <w:r>
              <w:rPr>
                <w:rFonts w:hint="eastAsia" w:ascii="宋体" w:hAnsi="宋体" w:eastAsia="宋体" w:cs="宋体"/>
                <w:sz w:val="21"/>
                <w:szCs w:val="21"/>
                <w:highlight w:val="none"/>
                <w:lang w:eastAsia="zh-CN"/>
              </w:rPr>
              <w:t xml:space="preserve"> 分）：</w:t>
            </w:r>
            <w:r>
              <w:rPr>
                <w:rFonts w:hint="eastAsia" w:ascii="宋体" w:hAnsi="宋体" w:eastAsia="宋体" w:cs="宋体"/>
                <w:highlight w:val="none"/>
              </w:rPr>
              <w:t>人员配置充足</w:t>
            </w:r>
            <w:r>
              <w:rPr>
                <w:rFonts w:hint="eastAsia" w:ascii="宋体" w:hAnsi="宋体" w:eastAsia="宋体" w:cs="宋体"/>
                <w:highlight w:val="none"/>
                <w:lang w:eastAsia="zh-CN"/>
              </w:rPr>
              <w:t>，</w:t>
            </w:r>
            <w:r>
              <w:rPr>
                <w:rFonts w:hint="eastAsia" w:ascii="宋体" w:hAnsi="宋体" w:eastAsia="宋体" w:cs="宋体"/>
                <w:sz w:val="21"/>
                <w:szCs w:val="21"/>
                <w:highlight w:val="none"/>
                <w:lang w:val="en-US" w:eastAsia="zh-CN"/>
              </w:rPr>
              <w:t>项目团队资质较高、人员配备充分，具有同类项目的工作经验，专业程度高</w:t>
            </w:r>
            <w:r>
              <w:rPr>
                <w:rFonts w:hint="eastAsia" w:ascii="宋体" w:hAnsi="宋体" w:eastAsia="宋体" w:cs="宋体"/>
                <w:sz w:val="21"/>
                <w:szCs w:val="21"/>
                <w:highlight w:val="none"/>
                <w:lang w:eastAsia="zh-CN"/>
              </w:rPr>
              <w:t>，能全面保障项目实施。</w:t>
            </w:r>
          </w:p>
          <w:p w14:paraId="1827FC68">
            <w:pPr>
              <w:pStyle w:val="13"/>
              <w:ind w:left="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注：</w:t>
            </w:r>
            <w:r>
              <w:rPr>
                <w:rFonts w:hint="eastAsia" w:ascii="宋体" w:hAnsi="宋体" w:eastAsia="宋体" w:cs="宋体"/>
                <w:sz w:val="21"/>
                <w:szCs w:val="21"/>
                <w:highlight w:val="none"/>
              </w:rPr>
              <w:t>①</w:t>
            </w:r>
            <w:r>
              <w:rPr>
                <w:rFonts w:hint="eastAsia" w:ascii="宋体" w:hAnsi="宋体" w:eastAsia="宋体" w:cs="宋体"/>
                <w:sz w:val="21"/>
                <w:szCs w:val="21"/>
                <w:highlight w:val="none"/>
                <w:lang w:val="en-US" w:eastAsia="zh-CN"/>
              </w:rPr>
              <w:t>需提供</w:t>
            </w:r>
            <w:r>
              <w:rPr>
                <w:rFonts w:hint="eastAsia" w:ascii="宋体" w:hAnsi="宋体" w:eastAsia="宋体" w:cs="宋体"/>
                <w:sz w:val="21"/>
                <w:szCs w:val="21"/>
                <w:highlight w:val="none"/>
                <w:lang w:eastAsia="zh-CN"/>
              </w:rPr>
              <w:t>团队人员清单、姓名、电话、职务、职责、相关证书复印件、过往同类项目验收报告或用户证明</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rPr>
              <w:t>②</w:t>
            </w:r>
            <w:r>
              <w:rPr>
                <w:rFonts w:hint="eastAsia" w:ascii="宋体" w:hAnsi="宋体" w:eastAsia="宋体" w:cs="宋体"/>
                <w:sz w:val="21"/>
                <w:szCs w:val="21"/>
                <w:highlight w:val="none"/>
                <w:lang w:val="en-US" w:eastAsia="zh-CN"/>
              </w:rPr>
              <w:t>由供应商在</w:t>
            </w:r>
            <w:r>
              <w:rPr>
                <w:rFonts w:hint="eastAsia" w:ascii="宋体" w:hAnsi="宋体" w:eastAsia="宋体" w:cs="宋体"/>
                <w:sz w:val="21"/>
                <w:szCs w:val="21"/>
                <w:highlight w:val="none"/>
                <w:lang w:eastAsia="zh-CN"/>
              </w:rPr>
              <w:t>截标前连续6个月内任意1个月</w:t>
            </w:r>
            <w:r>
              <w:rPr>
                <w:rFonts w:hint="eastAsia" w:ascii="宋体" w:hAnsi="宋体" w:eastAsia="宋体" w:cs="宋体"/>
                <w:sz w:val="21"/>
                <w:szCs w:val="21"/>
                <w:highlight w:val="none"/>
              </w:rPr>
              <w:t>（不含截标当月）</w:t>
            </w:r>
            <w:r>
              <w:rPr>
                <w:rFonts w:hint="eastAsia" w:ascii="宋体" w:hAnsi="宋体" w:cs="宋体"/>
                <w:sz w:val="21"/>
                <w:szCs w:val="21"/>
                <w:highlight w:val="none"/>
                <w:lang w:val="en-US" w:eastAsia="zh-CN"/>
              </w:rPr>
              <w:t>为其缴纳的</w:t>
            </w:r>
            <w:r>
              <w:rPr>
                <w:rFonts w:hint="eastAsia" w:ascii="宋体" w:hAnsi="宋体" w:eastAsia="宋体" w:cs="宋体"/>
                <w:sz w:val="21"/>
                <w:szCs w:val="21"/>
                <w:highlight w:val="none"/>
                <w:lang w:eastAsia="zh-CN"/>
              </w:rPr>
              <w:t>社保证明</w:t>
            </w:r>
            <w:r>
              <w:rPr>
                <w:rFonts w:hint="eastAsia" w:ascii="宋体" w:hAnsi="宋体" w:eastAsia="宋体" w:cs="宋体"/>
                <w:sz w:val="21"/>
                <w:szCs w:val="21"/>
                <w:highlight w:val="none"/>
                <w:lang w:val="en-US" w:eastAsia="zh-CN"/>
              </w:rPr>
              <w:t>材料复印件</w:t>
            </w:r>
            <w:r>
              <w:rPr>
                <w:rFonts w:hint="eastAsia" w:ascii="宋体" w:hAnsi="宋体" w:eastAsia="宋体" w:cs="宋体"/>
                <w:sz w:val="21"/>
                <w:szCs w:val="21"/>
                <w:highlight w:val="none"/>
                <w:lang w:eastAsia="zh-CN"/>
              </w:rPr>
              <w:t>或劳动合同复印件。</w:t>
            </w:r>
          </w:p>
          <w:p w14:paraId="671B970C">
            <w:pPr>
              <w:pStyle w:val="13"/>
              <w:numPr>
                <w:ilvl w:val="-1"/>
                <w:numId w:val="0"/>
              </w:numPr>
              <w:ind w:left="0"/>
              <w:rPr>
                <w:rFonts w:hint="eastAsia"/>
                <w:highlight w:val="none"/>
                <w:lang w:val="en-US" w:eastAsia="zh-CN"/>
              </w:rPr>
            </w:pPr>
            <w:r>
              <w:rPr>
                <w:rFonts w:hint="eastAsia" w:ascii="宋体" w:hAnsi="宋体" w:eastAsia="宋体" w:cs="宋体"/>
                <w:sz w:val="21"/>
                <w:szCs w:val="21"/>
                <w:highlight w:val="none"/>
                <w:lang w:eastAsia="zh-CN"/>
              </w:rPr>
              <w:t>所有</w:t>
            </w:r>
            <w:r>
              <w:rPr>
                <w:rFonts w:hint="eastAsia" w:ascii="宋体" w:hAnsi="宋体" w:eastAsia="宋体" w:cs="宋体"/>
                <w:sz w:val="21"/>
                <w:szCs w:val="21"/>
                <w:highlight w:val="none"/>
                <w:lang w:val="en-US" w:eastAsia="zh-CN"/>
              </w:rPr>
              <w:t>相关</w:t>
            </w:r>
            <w:r>
              <w:rPr>
                <w:rFonts w:hint="eastAsia" w:ascii="宋体" w:hAnsi="宋体" w:eastAsia="宋体" w:cs="宋体"/>
                <w:sz w:val="21"/>
                <w:szCs w:val="21"/>
                <w:highlight w:val="none"/>
                <w:lang w:eastAsia="zh-CN"/>
              </w:rPr>
              <w:t>材料加盖公章，</w:t>
            </w:r>
            <w:r>
              <w:rPr>
                <w:rFonts w:hint="eastAsia" w:ascii="宋体" w:hAnsi="宋体" w:eastAsia="宋体" w:cs="宋体"/>
                <w:sz w:val="21"/>
                <w:szCs w:val="21"/>
                <w:highlight w:val="none"/>
                <w:lang w:val="en-US" w:eastAsia="zh-CN"/>
              </w:rPr>
              <w:t>否则无效。</w:t>
            </w:r>
            <w:r>
              <w:rPr>
                <w:rFonts w:hint="eastAsia" w:ascii="宋体" w:hAnsi="宋体" w:eastAsia="宋体" w:cs="宋体"/>
                <w:sz w:val="21"/>
                <w:szCs w:val="21"/>
                <w:highlight w:val="none"/>
                <w:lang w:eastAsia="zh-CN"/>
              </w:rPr>
              <w:t>拟投入</w:t>
            </w:r>
            <w:r>
              <w:rPr>
                <w:rFonts w:hint="eastAsia" w:ascii="宋体" w:hAnsi="宋体" w:eastAsia="宋体" w:cs="宋体"/>
                <w:sz w:val="21"/>
                <w:szCs w:val="21"/>
                <w:highlight w:val="none"/>
                <w:lang w:val="en-US" w:eastAsia="zh-CN"/>
              </w:rPr>
              <w:t>的项目</w:t>
            </w:r>
            <w:r>
              <w:rPr>
                <w:rFonts w:hint="eastAsia" w:ascii="宋体" w:hAnsi="宋体" w:eastAsia="宋体" w:cs="宋体"/>
                <w:sz w:val="21"/>
                <w:szCs w:val="21"/>
                <w:highlight w:val="none"/>
                <w:lang w:eastAsia="zh-CN"/>
              </w:rPr>
              <w:t>人员</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lang w:eastAsia="zh-CN"/>
              </w:rPr>
              <w:t>与实际服务人员一致，否则按虚假应标处理。</w:t>
            </w:r>
          </w:p>
        </w:tc>
      </w:tr>
      <w:tr w14:paraId="6E92A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416" w:type="dxa"/>
            <w:vMerge w:val="continue"/>
            <w:tcBorders>
              <w:left w:val="single" w:color="auto" w:sz="4" w:space="0"/>
              <w:right w:val="single" w:color="auto" w:sz="4" w:space="0"/>
            </w:tcBorders>
            <w:noWrap w:val="0"/>
            <w:vAlign w:val="center"/>
          </w:tcPr>
          <w:p w14:paraId="100F758E">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235CF472">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904" w:type="dxa"/>
            <w:tcBorders>
              <w:top w:val="single" w:color="auto" w:sz="4" w:space="0"/>
              <w:left w:val="single" w:color="auto" w:sz="4" w:space="0"/>
              <w:right w:val="single" w:color="auto" w:sz="4" w:space="0"/>
            </w:tcBorders>
            <w:noWrap w:val="0"/>
            <w:vAlign w:val="center"/>
          </w:tcPr>
          <w:p w14:paraId="1F832521">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sz w:val="21"/>
                <w:szCs w:val="21"/>
                <w:highlight w:val="none"/>
              </w:rPr>
            </w:pPr>
            <w:r>
              <w:rPr>
                <w:rFonts w:hint="eastAsia" w:ascii="宋体" w:hAnsi="宋体" w:eastAsia="宋体" w:cs="宋体"/>
                <w:bCs/>
                <w:sz w:val="21"/>
                <w:szCs w:val="21"/>
                <w:highlight w:val="none"/>
                <w:lang w:val="en-US" w:eastAsia="zh-CN"/>
              </w:rPr>
              <w:t>驻场时长保障（</w:t>
            </w:r>
            <w:r>
              <w:rPr>
                <w:rFonts w:hint="eastAsia" w:hAnsi="宋体" w:eastAsia="宋体" w:cs="宋体"/>
                <w:bCs/>
                <w:sz w:val="21"/>
                <w:szCs w:val="21"/>
                <w:highlight w:val="none"/>
                <w:lang w:val="en-US" w:eastAsia="zh-CN"/>
              </w:rPr>
              <w:t>10</w:t>
            </w:r>
            <w:r>
              <w:rPr>
                <w:rFonts w:hint="eastAsia" w:ascii="宋体" w:hAnsi="宋体" w:eastAsia="宋体" w:cs="宋体"/>
                <w:bCs/>
                <w:sz w:val="21"/>
                <w:szCs w:val="21"/>
                <w:highlight w:val="none"/>
                <w:lang w:val="en-US" w:eastAsia="zh-CN"/>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633CB0B5">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根据供应商承诺的驻场服务时长及保障措施</w:t>
            </w:r>
            <w:r>
              <w:rPr>
                <w:rFonts w:hint="eastAsia" w:ascii="宋体" w:hAnsi="宋体" w:eastAsia="宋体" w:cs="宋体"/>
                <w:kern w:val="2"/>
                <w:sz w:val="21"/>
                <w:szCs w:val="21"/>
                <w:highlight w:val="none"/>
                <w:lang w:val="en-US" w:eastAsia="zh-CN" w:bidi="ar-SA"/>
              </w:rPr>
              <w:t>进行独立评审并按以下规定独立打分</w:t>
            </w:r>
            <w:r>
              <w:rPr>
                <w:rFonts w:hint="eastAsia" w:ascii="宋体" w:hAnsi="宋体" w:eastAsia="宋体" w:cs="宋体"/>
                <w:sz w:val="21"/>
                <w:szCs w:val="21"/>
                <w:highlight w:val="none"/>
                <w:lang w:val="en-US" w:eastAsia="zh-CN"/>
              </w:rPr>
              <w:t>：</w:t>
            </w:r>
          </w:p>
          <w:p w14:paraId="29595173">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一档（0.1-</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val="en-US" w:eastAsia="zh-CN"/>
              </w:rPr>
              <w:t>分）现场服务累计时长不足，未明确固定服务人员及到场保障机制，难以支撑项目现场协作需求；</w:t>
            </w:r>
          </w:p>
          <w:p w14:paraId="75D98238">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二档（</w:t>
            </w:r>
            <w:r>
              <w:rPr>
                <w:rFonts w:hint="eastAsia" w:ascii="宋体" w:hAnsi="宋体" w:cs="宋体"/>
                <w:sz w:val="21"/>
                <w:szCs w:val="21"/>
                <w:highlight w:val="none"/>
                <w:lang w:val="en-US" w:eastAsia="zh-CN"/>
              </w:rPr>
              <w:t>3.1</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lang w:val="en-US" w:eastAsia="zh-CN"/>
              </w:rPr>
              <w:t>分）现场服务累计时长合理，明确专属服务人员，具备基础考勤及到场管控措施，能满足常规现场协作需求；</w:t>
            </w:r>
          </w:p>
          <w:p w14:paraId="7FA7FDFA">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Theme="minorEastAsia" w:hAnsiTheme="minorEastAsia" w:eastAsiaTheme="minorEastAsia" w:cstheme="minorEastAsia"/>
                <w:bCs/>
                <w:sz w:val="21"/>
                <w:szCs w:val="21"/>
                <w:highlight w:val="none"/>
              </w:rPr>
            </w:pPr>
            <w:r>
              <w:rPr>
                <w:rFonts w:hint="eastAsia" w:ascii="宋体" w:hAnsi="宋体" w:eastAsia="宋体" w:cs="宋体"/>
                <w:sz w:val="21"/>
                <w:szCs w:val="21"/>
                <w:highlight w:val="none"/>
                <w:lang w:val="en-US" w:eastAsia="zh-CN"/>
              </w:rPr>
              <w:t>三档（</w:t>
            </w:r>
            <w:r>
              <w:rPr>
                <w:rFonts w:hint="eastAsia" w:ascii="宋体" w:hAnsi="宋体" w:cs="宋体"/>
                <w:sz w:val="21"/>
                <w:szCs w:val="21"/>
                <w:highlight w:val="none"/>
                <w:lang w:val="en-US" w:eastAsia="zh-CN"/>
              </w:rPr>
              <w:t>6.1</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lang w:val="en-US" w:eastAsia="zh-CN"/>
              </w:rPr>
              <w:t>分）现场服务累计时长充足，专属服务人员与项目核心团队保持一致，制定详细的现场工作计划、规范的考勤管理及应急补位方案，可确保现场服务的连续性与响应及时性。</w:t>
            </w:r>
          </w:p>
        </w:tc>
      </w:tr>
      <w:tr w14:paraId="6C6F3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416" w:type="dxa"/>
            <w:vMerge w:val="continue"/>
            <w:tcBorders>
              <w:left w:val="single" w:color="auto" w:sz="4" w:space="0"/>
              <w:right w:val="single" w:color="auto" w:sz="4" w:space="0"/>
            </w:tcBorders>
            <w:noWrap w:val="0"/>
            <w:vAlign w:val="center"/>
          </w:tcPr>
          <w:p w14:paraId="09B13E15">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2873FE72">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val="0"/>
                <w:color w:val="FF0000"/>
                <w:sz w:val="21"/>
                <w:szCs w:val="21"/>
                <w:highlight w:val="none"/>
                <w:lang w:val="en-US" w:eastAsia="zh-CN"/>
              </w:rPr>
            </w:pPr>
          </w:p>
        </w:tc>
        <w:tc>
          <w:tcPr>
            <w:tcW w:w="904" w:type="dxa"/>
            <w:tcBorders>
              <w:left w:val="single" w:color="auto" w:sz="4" w:space="0"/>
              <w:bottom w:val="single" w:color="auto" w:sz="4" w:space="0"/>
              <w:right w:val="single" w:color="auto" w:sz="4" w:space="0"/>
            </w:tcBorders>
            <w:noWrap w:val="0"/>
            <w:vAlign w:val="center"/>
          </w:tcPr>
          <w:p w14:paraId="40ED2514">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服务方案</w:t>
            </w:r>
          </w:p>
          <w:p w14:paraId="50BB630A">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hAnsi="宋体" w:eastAsia="宋体" w:cs="宋体"/>
                <w:bCs/>
                <w:color w:val="auto"/>
                <w:sz w:val="21"/>
                <w:szCs w:val="21"/>
                <w:highlight w:val="none"/>
                <w:lang w:val="en-US" w:eastAsia="zh-CN"/>
              </w:rPr>
              <w:t>25</w:t>
            </w:r>
            <w:r>
              <w:rPr>
                <w:rFonts w:hint="eastAsia" w:ascii="宋体" w:hAnsi="宋体" w:eastAsia="宋体" w:cs="宋体"/>
                <w:bCs/>
                <w:color w:val="auto"/>
                <w:sz w:val="21"/>
                <w:szCs w:val="21"/>
                <w:highlight w:val="none"/>
                <w:lang w:val="en-US" w:eastAsia="zh-CN"/>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4BE301D1">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根据供应商针对本项目提供的整体服务方案（含服务管理、质量管理、项目管理等）</w:t>
            </w:r>
            <w:r>
              <w:rPr>
                <w:rFonts w:hint="eastAsia" w:ascii="宋体" w:hAnsi="宋体" w:eastAsia="宋体" w:cs="宋体"/>
                <w:kern w:val="2"/>
                <w:sz w:val="21"/>
                <w:szCs w:val="21"/>
                <w:highlight w:val="none"/>
                <w:lang w:val="en-US" w:eastAsia="zh-CN" w:bidi="ar-SA"/>
              </w:rPr>
              <w:t>进行独立评审并按以下规定独立打分</w:t>
            </w:r>
            <w:r>
              <w:rPr>
                <w:rFonts w:hint="eastAsia" w:ascii="宋体" w:hAnsi="宋体" w:eastAsia="宋体" w:cs="宋体"/>
                <w:bCs/>
                <w:color w:val="auto"/>
                <w:sz w:val="21"/>
                <w:szCs w:val="21"/>
                <w:highlight w:val="none"/>
                <w:lang w:val="en-US" w:eastAsia="zh-CN"/>
              </w:rPr>
              <w:t>：</w:t>
            </w:r>
          </w:p>
          <w:p w14:paraId="79FB9B2A">
            <w:pPr>
              <w:keepNext w:val="0"/>
              <w:keepLines w:val="0"/>
              <w:pageBreakBefore w:val="0"/>
              <w:widowControl/>
              <w:wordWrap/>
              <w:topLinePunct w:val="0"/>
              <w:autoSpaceDE/>
              <w:autoSpaceDN/>
              <w:bidi w:val="0"/>
              <w:adjustRightInd w:val="0"/>
              <w:snapToGrid w:val="0"/>
              <w:spacing w:line="380" w:lineRule="exact"/>
              <w:jc w:val="left"/>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一档（0.1-</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en-US" w:eastAsia="zh-CN"/>
              </w:rPr>
              <w:t>分）方案仅含纲要，内容简略，未结合洗钱风险自评估项目特点，针对性不足；未提供专项培训方案，或仅提及常规培训，无针对性和可操作性</w:t>
            </w:r>
            <w:r>
              <w:rPr>
                <w:rFonts w:hint="eastAsia" w:ascii="宋体" w:hAnsi="宋体" w:cs="宋体"/>
                <w:bCs/>
                <w:color w:val="auto"/>
                <w:sz w:val="21"/>
                <w:szCs w:val="21"/>
                <w:highlight w:val="none"/>
                <w:lang w:val="en-US" w:eastAsia="zh-CN"/>
              </w:rPr>
              <w:t>。</w:t>
            </w:r>
          </w:p>
          <w:p w14:paraId="21068EE3">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w:t>
            </w:r>
            <w:r>
              <w:rPr>
                <w:rFonts w:hint="eastAsia" w:ascii="宋体" w:hAnsi="宋体" w:cs="宋体"/>
                <w:bCs/>
                <w:color w:val="auto"/>
                <w:sz w:val="21"/>
                <w:szCs w:val="21"/>
                <w:highlight w:val="none"/>
                <w:lang w:val="en-US" w:eastAsia="zh-CN"/>
              </w:rPr>
              <w:t>8.1</w:t>
            </w: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16</w:t>
            </w:r>
            <w:r>
              <w:rPr>
                <w:rFonts w:hint="eastAsia" w:ascii="宋体" w:hAnsi="宋体" w:eastAsia="宋体" w:cs="宋体"/>
                <w:bCs/>
                <w:color w:val="auto"/>
                <w:sz w:val="21"/>
                <w:szCs w:val="21"/>
                <w:highlight w:val="none"/>
                <w:lang w:val="en-US" w:eastAsia="zh-CN"/>
              </w:rPr>
              <w:t>分）方案内容满足项目基本要求，涵盖核心服务环节，质量管理和项目管理机制基本健全；提供培训方案，包含反洗钱自评估相关基础知识点，有初步的培训计划和考核方式，基本满足项目需求</w:t>
            </w:r>
            <w:r>
              <w:rPr>
                <w:rFonts w:hint="eastAsia" w:ascii="宋体" w:hAnsi="宋体" w:cs="宋体"/>
                <w:bCs/>
                <w:color w:val="auto"/>
                <w:sz w:val="21"/>
                <w:szCs w:val="21"/>
                <w:highlight w:val="none"/>
                <w:lang w:val="en-US" w:eastAsia="zh-CN"/>
              </w:rPr>
              <w:t>。</w:t>
            </w:r>
          </w:p>
          <w:p w14:paraId="1D76E644">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宋体" w:hAnsi="宋体" w:eastAsia="宋体" w:cs="宋体"/>
                <w:bCs/>
                <w:color w:val="auto"/>
                <w:sz w:val="21"/>
                <w:szCs w:val="21"/>
                <w:highlight w:val="none"/>
                <w:lang w:val="en-US" w:eastAsia="zh-CN"/>
              </w:rPr>
              <w:t>三档（</w:t>
            </w:r>
            <w:r>
              <w:rPr>
                <w:rFonts w:hint="eastAsia" w:ascii="宋体" w:hAnsi="宋体" w:cs="宋体"/>
                <w:bCs/>
                <w:color w:val="auto"/>
                <w:sz w:val="21"/>
                <w:szCs w:val="21"/>
                <w:highlight w:val="none"/>
                <w:lang w:val="en-US" w:eastAsia="zh-CN"/>
              </w:rPr>
              <w:t>16.1</w:t>
            </w: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25</w:t>
            </w:r>
            <w:r>
              <w:rPr>
                <w:rFonts w:hint="eastAsia" w:ascii="宋体" w:hAnsi="宋体" w:eastAsia="宋体" w:cs="宋体"/>
                <w:bCs/>
                <w:color w:val="auto"/>
                <w:sz w:val="21"/>
                <w:szCs w:val="21"/>
                <w:highlight w:val="none"/>
                <w:lang w:val="en-US" w:eastAsia="zh-CN"/>
              </w:rPr>
              <w:t>分）：方案内容完整详细，紧密结合银行洗钱风险自评估业务特点，服务管理、质量管理、项目管理流程规范，措施具体可行，能根据银行实际情况灵活调整服务计划</w:t>
            </w: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培训方案完整详细，针对银行实际业务场景</w:t>
            </w:r>
            <w:r>
              <w:rPr>
                <w:rFonts w:hint="eastAsia" w:ascii="宋体" w:hAnsi="宋体" w:cs="宋体"/>
                <w:bCs/>
                <w:color w:val="auto"/>
                <w:sz w:val="21"/>
                <w:szCs w:val="21"/>
                <w:highlight w:val="none"/>
                <w:lang w:val="en-US" w:eastAsia="zh-CN"/>
              </w:rPr>
              <w:t>、不同层级人员</w:t>
            </w:r>
            <w:r>
              <w:rPr>
                <w:rFonts w:hint="eastAsia" w:ascii="宋体" w:hAnsi="宋体" w:eastAsia="宋体" w:cs="宋体"/>
                <w:bCs/>
                <w:color w:val="auto"/>
                <w:sz w:val="21"/>
                <w:szCs w:val="21"/>
                <w:highlight w:val="none"/>
                <w:lang w:val="en-US" w:eastAsia="zh-CN"/>
              </w:rPr>
              <w:t>设计培训内容（涵盖自评估方法、风险识别技巧、监管要求解读等）</w:t>
            </w:r>
            <w:r>
              <w:rPr>
                <w:rFonts w:hint="eastAsia" w:ascii="宋体" w:hAnsi="宋体" w:cs="宋体"/>
                <w:bCs/>
                <w:color w:val="auto"/>
                <w:sz w:val="21"/>
                <w:szCs w:val="21"/>
                <w:highlight w:val="none"/>
                <w:lang w:val="en-US" w:eastAsia="zh-CN"/>
              </w:rPr>
              <w:t>。</w:t>
            </w:r>
          </w:p>
        </w:tc>
      </w:tr>
      <w:tr w14:paraId="476A53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416" w:type="dxa"/>
            <w:vMerge w:val="continue"/>
            <w:tcBorders>
              <w:left w:val="single" w:color="auto" w:sz="4" w:space="0"/>
              <w:right w:val="single" w:color="auto" w:sz="4" w:space="0"/>
            </w:tcBorders>
            <w:noWrap w:val="0"/>
            <w:vAlign w:val="center"/>
          </w:tcPr>
          <w:p w14:paraId="40B42067">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25" w:type="dxa"/>
            <w:vMerge w:val="continue"/>
            <w:tcBorders>
              <w:left w:val="single" w:color="auto" w:sz="4" w:space="0"/>
              <w:right w:val="single" w:color="auto" w:sz="4" w:space="0"/>
            </w:tcBorders>
            <w:noWrap w:val="0"/>
            <w:vAlign w:val="center"/>
          </w:tcPr>
          <w:p w14:paraId="49C14022">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val="0"/>
                <w:color w:val="FF0000"/>
                <w:sz w:val="21"/>
                <w:szCs w:val="21"/>
                <w:highlight w:val="none"/>
                <w:lang w:val="en-US" w:eastAsia="zh-CN"/>
              </w:rPr>
            </w:pPr>
          </w:p>
        </w:tc>
        <w:tc>
          <w:tcPr>
            <w:tcW w:w="904" w:type="dxa"/>
            <w:tcBorders>
              <w:left w:val="single" w:color="auto" w:sz="4" w:space="0"/>
              <w:bottom w:val="single" w:color="auto" w:sz="4" w:space="0"/>
              <w:right w:val="single" w:color="auto" w:sz="4" w:space="0"/>
            </w:tcBorders>
            <w:noWrap w:val="0"/>
            <w:vAlign w:val="center"/>
          </w:tcPr>
          <w:p w14:paraId="62E98A58">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售后服务</w:t>
            </w:r>
          </w:p>
          <w:p w14:paraId="18D353DC">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sz w:val="21"/>
                <w:szCs w:val="21"/>
                <w:highlight w:val="none"/>
              </w:rPr>
            </w:pPr>
            <w:r>
              <w:rPr>
                <w:rFonts w:hint="eastAsia" w:ascii="宋体" w:hAnsi="宋体" w:eastAsia="宋体" w:cs="宋体"/>
                <w:bCs/>
                <w:sz w:val="21"/>
                <w:szCs w:val="21"/>
                <w:highlight w:val="none"/>
                <w:lang w:val="en-US" w:eastAsia="zh-CN"/>
              </w:rPr>
              <w:t>（</w:t>
            </w:r>
            <w:r>
              <w:rPr>
                <w:rFonts w:hint="eastAsia" w:ascii="宋体" w:hAnsi="宋体" w:cs="宋体"/>
                <w:bCs/>
                <w:sz w:val="21"/>
                <w:szCs w:val="21"/>
                <w:highlight w:val="none"/>
                <w:lang w:val="en-US" w:eastAsia="zh-CN"/>
              </w:rPr>
              <w:t xml:space="preserve">10                                   </w:t>
            </w:r>
            <w:r>
              <w:rPr>
                <w:rFonts w:hint="eastAsia" w:ascii="宋体" w:hAnsi="宋体" w:eastAsia="宋体" w:cs="宋体"/>
                <w:bCs/>
                <w:sz w:val="21"/>
                <w:szCs w:val="21"/>
                <w:highlight w:val="none"/>
                <w:lang w:val="en-US" w:eastAsia="zh-CN"/>
              </w:rPr>
              <w:t>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058F1C58">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根据供应商提供的售后服务方案</w:t>
            </w:r>
            <w:r>
              <w:rPr>
                <w:rFonts w:hint="eastAsia" w:ascii="宋体" w:hAnsi="宋体" w:eastAsia="宋体" w:cs="宋体"/>
                <w:kern w:val="2"/>
                <w:sz w:val="21"/>
                <w:szCs w:val="21"/>
                <w:highlight w:val="none"/>
                <w:lang w:val="en-US" w:eastAsia="zh-CN" w:bidi="ar-SA"/>
              </w:rPr>
              <w:t>进行独立评审并按以下规定独立打分</w:t>
            </w:r>
            <w:r>
              <w:rPr>
                <w:rFonts w:hint="eastAsia" w:ascii="宋体" w:hAnsi="宋体" w:eastAsia="宋体" w:cs="宋体"/>
                <w:bCs/>
                <w:sz w:val="21"/>
                <w:szCs w:val="21"/>
                <w:highlight w:val="none"/>
                <w:lang w:val="en-US" w:eastAsia="zh-CN"/>
              </w:rPr>
              <w:t>：</w:t>
            </w:r>
          </w:p>
          <w:p w14:paraId="3ECD8B87">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w:t>
            </w:r>
            <w:r>
              <w:rPr>
                <w:rFonts w:hint="eastAsia" w:hAnsi="宋体" w:eastAsia="宋体" w:cs="宋体"/>
                <w:bCs/>
                <w:sz w:val="21"/>
                <w:szCs w:val="21"/>
                <w:highlight w:val="none"/>
                <w:lang w:val="en-US" w:eastAsia="zh-CN"/>
              </w:rPr>
              <w:t>3</w:t>
            </w:r>
            <w:r>
              <w:rPr>
                <w:rFonts w:hint="eastAsia" w:ascii="宋体" w:hAnsi="宋体" w:eastAsia="宋体" w:cs="宋体"/>
                <w:bCs/>
                <w:sz w:val="21"/>
                <w:szCs w:val="21"/>
                <w:highlight w:val="none"/>
                <w:lang w:val="en-US" w:eastAsia="zh-CN"/>
              </w:rPr>
              <w:t>分）售后服务方案不完善，无明确的</w:t>
            </w:r>
            <w:r>
              <w:rPr>
                <w:rFonts w:hint="eastAsia" w:hAnsi="宋体" w:eastAsia="宋体" w:cs="宋体"/>
                <w:bCs/>
                <w:sz w:val="21"/>
                <w:szCs w:val="21"/>
                <w:highlight w:val="none"/>
                <w:lang w:val="en-US" w:eastAsia="zh-CN"/>
              </w:rPr>
              <w:t>售后服务方案</w:t>
            </w:r>
            <w:r>
              <w:rPr>
                <w:rFonts w:hint="eastAsia" w:ascii="宋体" w:hAnsi="宋体" w:eastAsia="宋体" w:cs="宋体"/>
                <w:bCs/>
                <w:sz w:val="21"/>
                <w:szCs w:val="21"/>
                <w:highlight w:val="none"/>
                <w:lang w:val="en-US" w:eastAsia="zh-CN"/>
              </w:rPr>
              <w:t>；</w:t>
            </w:r>
          </w:p>
          <w:p w14:paraId="2726C7C0">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二档（</w:t>
            </w:r>
            <w:r>
              <w:rPr>
                <w:rFonts w:hint="eastAsia" w:hAnsi="宋体" w:eastAsia="宋体" w:cs="宋体"/>
                <w:bCs/>
                <w:sz w:val="21"/>
                <w:szCs w:val="21"/>
                <w:highlight w:val="none"/>
                <w:lang w:val="en-US" w:eastAsia="zh-CN"/>
              </w:rPr>
              <w:t>3.1</w:t>
            </w: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6</w:t>
            </w:r>
            <w:r>
              <w:rPr>
                <w:rFonts w:hint="eastAsia" w:ascii="宋体" w:hAnsi="宋体" w:eastAsia="宋体" w:cs="宋体"/>
                <w:bCs/>
                <w:sz w:val="21"/>
                <w:szCs w:val="21"/>
                <w:highlight w:val="none"/>
                <w:lang w:val="en-US" w:eastAsia="zh-CN"/>
              </w:rPr>
              <w:t>分）</w:t>
            </w:r>
            <w:r>
              <w:rPr>
                <w:rFonts w:hint="eastAsia" w:hAnsi="宋体" w:eastAsia="宋体" w:cs="宋体"/>
                <w:bCs/>
                <w:sz w:val="21"/>
                <w:szCs w:val="21"/>
                <w:highlight w:val="none"/>
                <w:lang w:val="en-US" w:eastAsia="zh-CN"/>
              </w:rPr>
              <w:t>有明确的</w:t>
            </w:r>
            <w:r>
              <w:rPr>
                <w:rFonts w:hint="eastAsia" w:ascii="宋体" w:hAnsi="宋体" w:eastAsia="宋体" w:cs="宋体"/>
                <w:bCs/>
                <w:sz w:val="21"/>
                <w:szCs w:val="21"/>
                <w:highlight w:val="none"/>
                <w:lang w:val="en-US" w:eastAsia="zh-CN"/>
              </w:rPr>
              <w:t>售后服务方案</w:t>
            </w:r>
            <w:r>
              <w:rPr>
                <w:rFonts w:hint="eastAsia" w:hAnsi="宋体" w:eastAsia="宋体" w:cs="宋体"/>
                <w:bCs/>
                <w:sz w:val="21"/>
                <w:szCs w:val="21"/>
                <w:highlight w:val="none"/>
                <w:lang w:val="en-US" w:eastAsia="zh-CN"/>
              </w:rPr>
              <w:t>和</w:t>
            </w:r>
            <w:r>
              <w:rPr>
                <w:rFonts w:hint="eastAsia" w:ascii="宋体" w:hAnsi="宋体" w:eastAsia="宋体" w:cs="宋体"/>
                <w:bCs/>
                <w:sz w:val="21"/>
                <w:szCs w:val="21"/>
                <w:highlight w:val="none"/>
                <w:lang w:val="en-US" w:eastAsia="zh-CN"/>
              </w:rPr>
              <w:t>咨询</w:t>
            </w:r>
            <w:r>
              <w:rPr>
                <w:rFonts w:hint="eastAsia" w:hAnsi="宋体" w:eastAsia="宋体" w:cs="宋体"/>
                <w:bCs/>
                <w:sz w:val="21"/>
                <w:szCs w:val="21"/>
                <w:highlight w:val="none"/>
                <w:lang w:val="en-US" w:eastAsia="zh-CN"/>
              </w:rPr>
              <w:t>沟通应答机制，基本满足项目需求</w:t>
            </w:r>
            <w:r>
              <w:rPr>
                <w:rFonts w:hint="eastAsia" w:ascii="宋体" w:hAnsi="宋体" w:eastAsia="宋体" w:cs="宋体"/>
                <w:bCs/>
                <w:sz w:val="21"/>
                <w:szCs w:val="21"/>
                <w:highlight w:val="none"/>
                <w:lang w:val="en-US" w:eastAsia="zh-CN"/>
              </w:rPr>
              <w:t>；</w:t>
            </w:r>
          </w:p>
          <w:p w14:paraId="382576C1">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Theme="minorEastAsia" w:hAnsiTheme="minorEastAsia" w:eastAsiaTheme="minorEastAsia" w:cstheme="minorEastAsia"/>
                <w:bCs/>
                <w:sz w:val="21"/>
                <w:szCs w:val="21"/>
                <w:highlight w:val="none"/>
              </w:rPr>
            </w:pPr>
            <w:r>
              <w:rPr>
                <w:rFonts w:hint="eastAsia" w:ascii="宋体" w:hAnsi="宋体" w:eastAsia="宋体" w:cs="宋体"/>
                <w:bCs/>
                <w:sz w:val="21"/>
                <w:szCs w:val="21"/>
                <w:highlight w:val="none"/>
                <w:lang w:val="en-US" w:eastAsia="zh-CN"/>
              </w:rPr>
              <w:t>三档（</w:t>
            </w:r>
            <w:r>
              <w:rPr>
                <w:rFonts w:hint="eastAsia" w:hAnsi="宋体" w:eastAsia="宋体" w:cs="宋体"/>
                <w:bCs/>
                <w:sz w:val="21"/>
                <w:szCs w:val="21"/>
                <w:highlight w:val="none"/>
                <w:lang w:val="en-US" w:eastAsia="zh-CN"/>
              </w:rPr>
              <w:t>6.1</w:t>
            </w: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10</w:t>
            </w:r>
            <w:r>
              <w:rPr>
                <w:rFonts w:hint="eastAsia" w:ascii="宋体" w:hAnsi="宋体" w:eastAsia="宋体" w:cs="宋体"/>
                <w:bCs/>
                <w:sz w:val="21"/>
                <w:szCs w:val="21"/>
                <w:highlight w:val="none"/>
                <w:lang w:val="en-US" w:eastAsia="zh-CN"/>
              </w:rPr>
              <w:t>分）售后服务方案全面完善，</w:t>
            </w:r>
            <w:r>
              <w:rPr>
                <w:rFonts w:hint="eastAsia" w:hAnsi="宋体" w:eastAsia="宋体" w:cs="宋体"/>
                <w:bCs/>
                <w:sz w:val="21"/>
                <w:szCs w:val="21"/>
                <w:highlight w:val="none"/>
                <w:lang w:val="en-US" w:eastAsia="zh-CN"/>
              </w:rPr>
              <w:t>方案详尽</w:t>
            </w:r>
            <w:r>
              <w:rPr>
                <w:rFonts w:hint="eastAsia" w:ascii="宋体" w:hAnsi="宋体" w:eastAsia="宋体" w:cs="宋体"/>
                <w:bCs/>
                <w:sz w:val="21"/>
                <w:szCs w:val="21"/>
                <w:highlight w:val="none"/>
                <w:lang w:val="en-US" w:eastAsia="zh-CN"/>
              </w:rPr>
              <w:t>，咨询</w:t>
            </w:r>
            <w:r>
              <w:rPr>
                <w:rFonts w:hint="eastAsia" w:hAnsi="宋体" w:eastAsia="宋体" w:cs="宋体"/>
                <w:bCs/>
                <w:sz w:val="21"/>
                <w:szCs w:val="21"/>
                <w:highlight w:val="none"/>
                <w:lang w:val="en-US" w:eastAsia="zh-CN"/>
              </w:rPr>
              <w:t>沟通应答机制较完善，时效性较高</w:t>
            </w:r>
            <w:r>
              <w:rPr>
                <w:rFonts w:hint="eastAsia" w:ascii="宋体" w:hAnsi="宋体" w:eastAsia="宋体" w:cs="宋体"/>
                <w:bCs/>
                <w:sz w:val="21"/>
                <w:szCs w:val="21"/>
                <w:highlight w:val="none"/>
                <w:lang w:val="en-US" w:eastAsia="zh-CN"/>
              </w:rPr>
              <w:t>。</w:t>
            </w:r>
          </w:p>
        </w:tc>
      </w:tr>
      <w:tr w14:paraId="601D0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42" w:hRule="atLeast"/>
          <w:jc w:val="center"/>
        </w:trPr>
        <w:tc>
          <w:tcPr>
            <w:tcW w:w="416" w:type="dxa"/>
            <w:tcBorders>
              <w:left w:val="single" w:color="auto" w:sz="4" w:space="0"/>
              <w:right w:val="single" w:color="auto" w:sz="4" w:space="0"/>
            </w:tcBorders>
            <w:noWrap w:val="0"/>
            <w:vAlign w:val="center"/>
          </w:tcPr>
          <w:p w14:paraId="5209D11D">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3</w:t>
            </w:r>
          </w:p>
        </w:tc>
        <w:tc>
          <w:tcPr>
            <w:tcW w:w="1729" w:type="dxa"/>
            <w:gridSpan w:val="2"/>
            <w:tcBorders>
              <w:left w:val="single" w:color="auto" w:sz="4" w:space="0"/>
              <w:right w:val="single" w:color="auto" w:sz="4" w:space="0"/>
            </w:tcBorders>
            <w:noWrap w:val="0"/>
            <w:vAlign w:val="center"/>
          </w:tcPr>
          <w:p w14:paraId="1FEB9241">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价格</w:t>
            </w:r>
          </w:p>
          <w:p w14:paraId="2CF632DA">
            <w:pPr>
              <w:keepNext w:val="0"/>
              <w:keepLines w:val="0"/>
              <w:pageBreakBefore w:val="0"/>
              <w:widowControl/>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（30分）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5DD6BD92">
            <w:pPr>
              <w:pStyle w:val="2"/>
              <w:keepNext w:val="0"/>
              <w:keepLines w:val="0"/>
              <w:pageBreakBefore w:val="0"/>
              <w:widowControl w:val="0"/>
              <w:kinsoku/>
              <w:wordWrap/>
              <w:overflowPunct/>
              <w:topLinePunct w:val="0"/>
              <w:autoSpaceDE/>
              <w:autoSpaceDN/>
              <w:bidi w:val="0"/>
              <w:adjustRightInd/>
              <w:snapToGrid/>
              <w:spacing w:after="0" w:line="400" w:lineRule="exact"/>
              <w:textAlignment w:val="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最终磋商报价最低的作为评标基准价其价格分为</w:t>
            </w:r>
            <w:r>
              <w:rPr>
                <w:rFonts w:hint="eastAsia" w:asciiTheme="minorEastAsia" w:hAnsiTheme="minorEastAsia" w:eastAsiaTheme="minorEastAsia" w:cstheme="minorEastAsia"/>
                <w:color w:val="auto"/>
                <w:sz w:val="21"/>
                <w:szCs w:val="21"/>
                <w:highlight w:val="none"/>
                <w:lang w:val="en-US" w:eastAsia="zh-CN"/>
              </w:rPr>
              <w:t>30</w:t>
            </w:r>
            <w:r>
              <w:rPr>
                <w:rFonts w:hint="eastAsia" w:asciiTheme="minorEastAsia" w:hAnsiTheme="minorEastAsia" w:eastAsiaTheme="minorEastAsia" w:cstheme="minorEastAsia"/>
                <w:color w:val="auto"/>
                <w:sz w:val="21"/>
                <w:szCs w:val="21"/>
                <w:highlight w:val="none"/>
              </w:rPr>
              <w:t>分。其它</w:t>
            </w:r>
            <w:r>
              <w:rPr>
                <w:rFonts w:hint="eastAsia" w:asciiTheme="minorEastAsia" w:hAnsiTheme="minorEastAsia" w:eastAsiaTheme="minorEastAsia" w:cstheme="minorEastAsia"/>
                <w:color w:val="auto"/>
                <w:sz w:val="21"/>
                <w:szCs w:val="21"/>
                <w:highlight w:val="none"/>
                <w:lang w:eastAsia="zh-CN"/>
              </w:rPr>
              <w:t>供应商</w:t>
            </w:r>
            <w:r>
              <w:rPr>
                <w:rFonts w:hint="eastAsia" w:asciiTheme="minorEastAsia" w:hAnsiTheme="minorEastAsia" w:eastAsiaTheme="minorEastAsia" w:cstheme="minorEastAsia"/>
                <w:color w:val="auto"/>
                <w:sz w:val="21"/>
                <w:szCs w:val="21"/>
                <w:highlight w:val="none"/>
              </w:rPr>
              <w:t>的应标价格得分按以下公式计算：</w:t>
            </w:r>
          </w:p>
          <w:p w14:paraId="44C11FCE">
            <w:pPr>
              <w:pStyle w:val="25"/>
              <w:keepNext w:val="0"/>
              <w:keepLines w:val="0"/>
              <w:pageBreakBefore w:val="0"/>
              <w:kinsoku/>
              <w:wordWrap/>
              <w:overflowPunct/>
              <w:topLinePunct w:val="0"/>
              <w:autoSpaceDE/>
              <w:autoSpaceDN/>
              <w:bidi w:val="0"/>
              <w:adjustRightInd/>
              <w:snapToGrid/>
              <w:spacing w:line="400" w:lineRule="exact"/>
              <w:ind w:firstLine="0" w:firstLineChars="0"/>
              <w:jc w:val="both"/>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其它应标价得分=（评标基准价÷应标价）×</w:t>
            </w:r>
            <w:r>
              <w:rPr>
                <w:rFonts w:hint="eastAsia" w:asciiTheme="minorEastAsia" w:hAnsiTheme="minorEastAsia" w:eastAsiaTheme="minorEastAsia" w:cstheme="minorEastAsia"/>
                <w:color w:val="auto"/>
                <w:sz w:val="21"/>
                <w:szCs w:val="21"/>
                <w:highlight w:val="none"/>
                <w:lang w:val="en-US" w:eastAsia="zh-CN"/>
              </w:rPr>
              <w:t>30</w:t>
            </w:r>
            <w:r>
              <w:rPr>
                <w:rFonts w:hint="eastAsia" w:asciiTheme="minorEastAsia" w:hAnsiTheme="minorEastAsia" w:eastAsiaTheme="minorEastAsia" w:cstheme="minorEastAsia"/>
                <w:color w:val="auto"/>
                <w:sz w:val="21"/>
                <w:szCs w:val="21"/>
                <w:highlight w:val="none"/>
              </w:rPr>
              <w:t>分</w:t>
            </w:r>
          </w:p>
        </w:tc>
      </w:tr>
      <w:tr w14:paraId="5DEA0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04" w:hRule="atLeast"/>
          <w:jc w:val="center"/>
        </w:trPr>
        <w:tc>
          <w:tcPr>
            <w:tcW w:w="2145" w:type="dxa"/>
            <w:gridSpan w:val="3"/>
            <w:tcBorders>
              <w:top w:val="single" w:color="auto" w:sz="4" w:space="0"/>
              <w:left w:val="single" w:color="auto" w:sz="4" w:space="0"/>
              <w:bottom w:val="single" w:color="auto" w:sz="4" w:space="0"/>
              <w:right w:val="single" w:color="auto" w:sz="4" w:space="0"/>
            </w:tcBorders>
            <w:noWrap w:val="0"/>
            <w:vAlign w:val="center"/>
          </w:tcPr>
          <w:p w14:paraId="1AD14E05">
            <w:pPr>
              <w:pStyle w:val="15"/>
              <w:keepNext w:val="0"/>
              <w:keepLines w:val="0"/>
              <w:pageBreakBefore w:val="0"/>
              <w:kinsoku/>
              <w:wordWrap/>
              <w:overflowPunct/>
              <w:topLinePunct w:val="0"/>
              <w:autoSpaceDE/>
              <w:autoSpaceDN/>
              <w:bidi w:val="0"/>
              <w:adjustRightInd/>
              <w:snapToGrid/>
              <w:spacing w:line="400" w:lineRule="exact"/>
              <w:ind w:firstLine="0"/>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综合评审得分</w:t>
            </w:r>
          </w:p>
        </w:tc>
        <w:tc>
          <w:tcPr>
            <w:tcW w:w="7526" w:type="dxa"/>
            <w:tcBorders>
              <w:top w:val="single" w:color="auto" w:sz="4" w:space="0"/>
              <w:left w:val="single" w:color="auto" w:sz="4" w:space="0"/>
              <w:bottom w:val="single" w:color="auto" w:sz="4" w:space="0"/>
              <w:right w:val="single" w:color="auto" w:sz="4" w:space="0"/>
            </w:tcBorders>
            <w:noWrap w:val="0"/>
            <w:vAlign w:val="center"/>
          </w:tcPr>
          <w:p w14:paraId="086D7F22">
            <w:pPr>
              <w:pStyle w:val="25"/>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hint="eastAsia" w:asciiTheme="minorEastAsia" w:hAnsiTheme="minorEastAsia" w:eastAsiaTheme="minorEastAsia" w:cstheme="minorEastAsia"/>
                <w:b/>
                <w:bCs/>
                <w:sz w:val="21"/>
                <w:szCs w:val="21"/>
                <w:highlight w:val="none"/>
                <w:lang w:val="en-US" w:eastAsia="zh-CN"/>
              </w:rPr>
            </w:pPr>
            <w:r>
              <w:rPr>
                <w:rFonts w:hint="eastAsia" w:asciiTheme="minorEastAsia" w:hAnsiTheme="minorEastAsia" w:eastAsiaTheme="minorEastAsia" w:cstheme="minorEastAsia"/>
                <w:b/>
                <w:bCs/>
                <w:sz w:val="21"/>
                <w:szCs w:val="21"/>
                <w:highlight w:val="none"/>
                <w:lang w:val="en-US" w:eastAsia="zh-CN"/>
              </w:rPr>
              <w:t>商务+技术+价格</w:t>
            </w:r>
          </w:p>
        </w:tc>
      </w:tr>
    </w:tbl>
    <w:p w14:paraId="1B2C8175">
      <w:pPr>
        <w:rPr>
          <w:highlight w:val="none"/>
        </w:rPr>
      </w:pPr>
    </w:p>
    <w:p w14:paraId="071466AD">
      <w:pPr>
        <w:rPr>
          <w:highlight w:val="none"/>
        </w:rPr>
      </w:pPr>
    </w:p>
    <w:p w14:paraId="5D55EEC0">
      <w:pPr>
        <w:rPr>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19A383A3">
      <w:pPr>
        <w:rPr>
          <w:highlight w:val="none"/>
        </w:rPr>
      </w:pPr>
    </w:p>
    <w:p w14:paraId="41E8E919">
      <w:pPr>
        <w:pStyle w:val="3"/>
        <w:jc w:val="center"/>
        <w:rPr>
          <w:sz w:val="32"/>
          <w:szCs w:val="32"/>
          <w:highlight w:val="none"/>
        </w:rPr>
      </w:pPr>
    </w:p>
    <w:p w14:paraId="1EFFE3C5">
      <w:pPr>
        <w:rPr>
          <w:sz w:val="32"/>
          <w:szCs w:val="32"/>
          <w:highlight w:val="none"/>
        </w:rPr>
      </w:pPr>
    </w:p>
    <w:p w14:paraId="17C6DB6D">
      <w:pPr>
        <w:pStyle w:val="2"/>
        <w:rPr>
          <w:highlight w:val="none"/>
        </w:rPr>
      </w:pPr>
    </w:p>
    <w:p w14:paraId="6B130916">
      <w:pPr>
        <w:pStyle w:val="3"/>
        <w:jc w:val="center"/>
        <w:rPr>
          <w:sz w:val="32"/>
          <w:szCs w:val="32"/>
          <w:highlight w:val="none"/>
        </w:rPr>
      </w:pPr>
      <w:bookmarkStart w:id="193" w:name="_Toc17176"/>
      <w:bookmarkStart w:id="194" w:name="_Toc2598"/>
      <w:bookmarkStart w:id="195" w:name="_Toc20297"/>
      <w:bookmarkStart w:id="196" w:name="_Toc273"/>
      <w:bookmarkStart w:id="197" w:name="_Toc359"/>
      <w:bookmarkStart w:id="198" w:name="_Toc21044"/>
      <w:bookmarkStart w:id="199" w:name="_Toc980"/>
      <w:bookmarkStart w:id="200" w:name="_Toc20094"/>
      <w:bookmarkStart w:id="201" w:name="_Toc29678"/>
      <w:bookmarkStart w:id="202" w:name="_Toc31019"/>
      <w:bookmarkStart w:id="203" w:name="_Toc4158"/>
      <w:r>
        <w:rPr>
          <w:sz w:val="32"/>
          <w:szCs w:val="32"/>
          <w:highlight w:val="none"/>
        </w:rPr>
        <w:t>第五章  合同主要条款格式</w:t>
      </w:r>
      <w:bookmarkEnd w:id="170"/>
      <w:bookmarkEnd w:id="171"/>
      <w:bookmarkEnd w:id="172"/>
      <w:bookmarkEnd w:id="17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p>
    <w:p w14:paraId="7CFDA2EC">
      <w:pPr>
        <w:snapToGrid w:val="0"/>
        <w:spacing w:line="400" w:lineRule="exact"/>
        <w:ind w:firstLine="3520" w:firstLineChars="1100"/>
        <w:jc w:val="left"/>
        <w:rPr>
          <w:sz w:val="32"/>
          <w:szCs w:val="32"/>
          <w:highlight w:val="none"/>
        </w:rPr>
      </w:pPr>
    </w:p>
    <w:p w14:paraId="1A446664">
      <w:pPr>
        <w:pStyle w:val="2"/>
        <w:kinsoku w:val="0"/>
        <w:overflowPunct w:val="0"/>
        <w:jc w:val="center"/>
        <w:rPr>
          <w:rFonts w:asciiTheme="minorEastAsia" w:hAnsiTheme="minorEastAsia" w:eastAsiaTheme="minorEastAsia" w:cstheme="minorEastAsia"/>
          <w:b/>
          <w:bCs/>
          <w:sz w:val="32"/>
          <w:szCs w:val="32"/>
          <w:highlight w:val="none"/>
        </w:rPr>
      </w:pPr>
      <w:r>
        <w:rPr>
          <w:rFonts w:hint="eastAsia" w:asciiTheme="minorEastAsia" w:hAnsiTheme="minorEastAsia" w:eastAsiaTheme="minorEastAsia" w:cstheme="minorEastAsia"/>
          <w:b/>
          <w:bCs/>
          <w:sz w:val="32"/>
          <w:szCs w:val="32"/>
          <w:highlight w:val="none"/>
        </w:rPr>
        <w:t>合同协议书、合同总条款及附件</w:t>
      </w:r>
    </w:p>
    <w:p w14:paraId="056BC686">
      <w:pPr>
        <w:jc w:val="center"/>
        <w:rPr>
          <w:highlight w:val="none"/>
        </w:rPr>
      </w:pPr>
      <w:r>
        <w:rPr>
          <w:rFonts w:hint="eastAsia" w:asciiTheme="minorEastAsia" w:hAnsiTheme="minorEastAsia" w:eastAsiaTheme="minorEastAsia" w:cstheme="minorEastAsia"/>
          <w:b/>
          <w:bCs/>
          <w:sz w:val="32"/>
          <w:szCs w:val="32"/>
          <w:highlight w:val="none"/>
        </w:rPr>
        <w:t>（本采购合同由采购人与</w:t>
      </w:r>
      <w:r>
        <w:rPr>
          <w:rFonts w:hint="eastAsia" w:asciiTheme="minorEastAsia" w:hAnsiTheme="minorEastAsia" w:eastAsiaTheme="minorEastAsia" w:cstheme="minorEastAsia"/>
          <w:b/>
          <w:bCs/>
          <w:sz w:val="32"/>
          <w:szCs w:val="32"/>
          <w:highlight w:val="none"/>
          <w:lang w:val="en-US" w:eastAsia="zh-CN"/>
        </w:rPr>
        <w:t>成交</w:t>
      </w:r>
      <w:r>
        <w:rPr>
          <w:rFonts w:hint="eastAsia" w:asciiTheme="minorEastAsia" w:hAnsiTheme="minorEastAsia" w:eastAsiaTheme="minorEastAsia" w:cstheme="minorEastAsia"/>
          <w:b/>
          <w:bCs/>
          <w:sz w:val="32"/>
          <w:szCs w:val="32"/>
          <w:highlight w:val="none"/>
        </w:rPr>
        <w:t>供应商按照采购和</w:t>
      </w:r>
      <w:r>
        <w:rPr>
          <w:rFonts w:hint="eastAsia" w:asciiTheme="minorEastAsia" w:hAnsiTheme="minorEastAsia" w:eastAsiaTheme="minorEastAsia" w:cstheme="minorEastAsia"/>
          <w:b/>
          <w:bCs/>
          <w:sz w:val="32"/>
          <w:szCs w:val="32"/>
          <w:highlight w:val="none"/>
          <w:lang w:val="en-US" w:eastAsia="zh-CN"/>
        </w:rPr>
        <w:t>响应</w:t>
      </w:r>
      <w:r>
        <w:rPr>
          <w:rFonts w:hint="eastAsia" w:asciiTheme="minorEastAsia" w:hAnsiTheme="minorEastAsia" w:eastAsiaTheme="minorEastAsia" w:cstheme="minorEastAsia"/>
          <w:b/>
          <w:bCs/>
          <w:sz w:val="32"/>
          <w:szCs w:val="32"/>
          <w:highlight w:val="none"/>
        </w:rPr>
        <w:t>文件协商签订，签订的合同实质性条款不得与采购文件和</w:t>
      </w:r>
      <w:r>
        <w:rPr>
          <w:rFonts w:hint="eastAsia" w:asciiTheme="minorEastAsia" w:hAnsiTheme="minorEastAsia" w:eastAsiaTheme="minorEastAsia" w:cstheme="minorEastAsia"/>
          <w:b/>
          <w:bCs/>
          <w:sz w:val="32"/>
          <w:szCs w:val="32"/>
          <w:highlight w:val="none"/>
          <w:lang w:val="en-US" w:eastAsia="zh-CN"/>
        </w:rPr>
        <w:t>响应</w:t>
      </w:r>
      <w:r>
        <w:rPr>
          <w:rFonts w:hint="eastAsia" w:asciiTheme="minorEastAsia" w:hAnsiTheme="minorEastAsia" w:eastAsiaTheme="minorEastAsia" w:cstheme="minorEastAsia"/>
          <w:b/>
          <w:bCs/>
          <w:sz w:val="32"/>
          <w:szCs w:val="32"/>
          <w:highlight w:val="none"/>
        </w:rPr>
        <w:t>文件相违背）</w:t>
      </w:r>
    </w:p>
    <w:p w14:paraId="0650A85E">
      <w:pPr>
        <w:spacing w:line="360" w:lineRule="exact"/>
        <w:ind w:firstLine="480" w:firstLineChars="200"/>
        <w:rPr>
          <w:rFonts w:ascii="宋体" w:hAnsi="宋体"/>
          <w:color w:val="000000" w:themeColor="text1"/>
          <w:sz w:val="24"/>
          <w:highlight w:val="none"/>
          <w14:textFill>
            <w14:solidFill>
              <w14:schemeClr w14:val="tx1"/>
            </w14:solidFill>
          </w14:textFill>
        </w:rPr>
      </w:pPr>
    </w:p>
    <w:p w14:paraId="1501CBE1">
      <w:pPr>
        <w:pStyle w:val="22"/>
        <w:rPr>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3BC0D10">
      <w:pPr>
        <w:pStyle w:val="3"/>
        <w:jc w:val="center"/>
        <w:rPr>
          <w:bCs w:val="0"/>
          <w:szCs w:val="24"/>
          <w:highlight w:val="none"/>
        </w:rPr>
      </w:pPr>
      <w:bookmarkStart w:id="204" w:name="_Toc9517"/>
      <w:bookmarkStart w:id="205" w:name="_Toc30065"/>
      <w:bookmarkStart w:id="206" w:name="_Toc4308"/>
      <w:bookmarkStart w:id="207" w:name="_Toc14092"/>
      <w:bookmarkStart w:id="208" w:name="_Toc18601"/>
      <w:bookmarkStart w:id="209" w:name="_Toc25398"/>
      <w:bookmarkStart w:id="210" w:name="_Toc32367"/>
      <w:bookmarkStart w:id="211" w:name="_Toc8818"/>
      <w:bookmarkStart w:id="212" w:name="_Toc31154"/>
      <w:bookmarkStart w:id="213" w:name="_Toc9251"/>
      <w:bookmarkStart w:id="214" w:name="_Toc17961"/>
      <w:bookmarkStart w:id="215" w:name="_Toc22934"/>
      <w:bookmarkStart w:id="216" w:name="_Toc315"/>
      <w:bookmarkStart w:id="217" w:name="_Toc31663"/>
      <w:bookmarkStart w:id="218" w:name="_Toc23028"/>
      <w:bookmarkStart w:id="219" w:name="_Toc10261"/>
      <w:bookmarkStart w:id="220" w:name="_Toc1038"/>
      <w:bookmarkStart w:id="221" w:name="_Toc14835"/>
      <w:bookmarkStart w:id="222" w:name="_Toc13735"/>
      <w:bookmarkStart w:id="223" w:name="_Toc9539"/>
      <w:bookmarkStart w:id="224" w:name="_Toc24503"/>
      <w:bookmarkStart w:id="225" w:name="_Toc25702"/>
      <w:bookmarkStart w:id="226" w:name="_Toc12383"/>
      <w:bookmarkStart w:id="227" w:name="_Toc4755"/>
      <w:r>
        <w:rPr>
          <w:sz w:val="32"/>
          <w:szCs w:val="32"/>
          <w:highlight w:val="none"/>
        </w:rPr>
        <w:t>第六章  响应文件格式</w:t>
      </w:r>
      <w:bookmarkEnd w:id="126"/>
      <w:bookmarkEnd w:id="127"/>
      <w:bookmarkEnd w:id="128"/>
      <w:bookmarkEnd w:id="129"/>
      <w:bookmarkEnd w:id="130"/>
      <w:bookmarkEnd w:id="131"/>
      <w:bookmarkEnd w:id="132"/>
      <w:bookmarkEnd w:id="133"/>
      <w:bookmarkEnd w:id="134"/>
      <w:bookmarkEnd w:id="135"/>
      <w:bookmarkEnd w:id="136"/>
      <w:bookmarkEnd w:id="174"/>
      <w:bookmarkEnd w:id="175"/>
      <w:bookmarkEnd w:id="176"/>
      <w:bookmarkEnd w:id="177"/>
      <w:bookmarkEnd w:id="178"/>
      <w:bookmarkEnd w:id="179"/>
      <w:bookmarkEnd w:id="180"/>
      <w:bookmarkEnd w:id="181"/>
      <w:bookmarkEnd w:id="182"/>
      <w:bookmarkEnd w:id="18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r>
        <w:rPr>
          <w:bCs w:val="0"/>
          <w:szCs w:val="24"/>
          <w:highlight w:val="none"/>
        </w:rPr>
        <w:t xml:space="preserve">                  </w:t>
      </w:r>
    </w:p>
    <w:p w14:paraId="69A3CE1D">
      <w:pPr>
        <w:rPr>
          <w:b/>
          <w:sz w:val="24"/>
          <w:highlight w:val="none"/>
        </w:rPr>
      </w:pPr>
      <w:r>
        <w:rPr>
          <w:b/>
          <w:sz w:val="24"/>
          <w:highlight w:val="none"/>
        </w:rPr>
        <w:t xml:space="preserve">响应文件封面格式： </w:t>
      </w:r>
    </w:p>
    <w:p w14:paraId="0172582B">
      <w:pPr>
        <w:snapToGrid w:val="0"/>
        <w:spacing w:before="156" w:beforeLines="50" w:after="50" w:line="360" w:lineRule="exact"/>
        <w:rPr>
          <w:sz w:val="24"/>
          <w:highlight w:val="none"/>
        </w:rPr>
      </w:pPr>
    </w:p>
    <w:p w14:paraId="48A3D99B">
      <w:pPr>
        <w:snapToGrid w:val="0"/>
        <w:spacing w:before="156" w:beforeLines="50" w:after="50" w:line="360" w:lineRule="exact"/>
        <w:jc w:val="right"/>
        <w:rPr>
          <w:bCs/>
          <w:sz w:val="24"/>
          <w:highlight w:val="none"/>
        </w:rPr>
      </w:pPr>
      <w:r>
        <w:rPr>
          <w:b/>
          <w:sz w:val="24"/>
          <w:highlight w:val="none"/>
        </w:rPr>
        <w:t>正本</w:t>
      </w:r>
    </w:p>
    <w:p w14:paraId="00CD6AC7">
      <w:pPr>
        <w:snapToGrid w:val="0"/>
        <w:spacing w:before="156" w:beforeLines="50" w:after="50" w:line="360" w:lineRule="exact"/>
        <w:jc w:val="center"/>
        <w:rPr>
          <w:bCs/>
          <w:sz w:val="24"/>
          <w:highlight w:val="none"/>
        </w:rPr>
      </w:pPr>
    </w:p>
    <w:p w14:paraId="21E327E2">
      <w:pPr>
        <w:snapToGrid w:val="0"/>
        <w:spacing w:before="156" w:beforeLines="50" w:after="50" w:line="360" w:lineRule="exact"/>
        <w:jc w:val="center"/>
        <w:rPr>
          <w:b/>
          <w:bCs/>
          <w:sz w:val="44"/>
          <w:szCs w:val="44"/>
          <w:highlight w:val="none"/>
        </w:rPr>
      </w:pPr>
      <w:r>
        <w:rPr>
          <w:b/>
          <w:bCs/>
          <w:sz w:val="44"/>
          <w:szCs w:val="44"/>
          <w:highlight w:val="none"/>
        </w:rPr>
        <w:t>响应文件</w:t>
      </w:r>
    </w:p>
    <w:p w14:paraId="29FFD93C">
      <w:pPr>
        <w:snapToGrid w:val="0"/>
        <w:spacing w:before="156" w:beforeLines="50" w:after="50" w:line="360" w:lineRule="exact"/>
        <w:rPr>
          <w:bCs/>
          <w:sz w:val="24"/>
          <w:highlight w:val="none"/>
        </w:rPr>
      </w:pPr>
    </w:p>
    <w:p w14:paraId="085C7339">
      <w:pPr>
        <w:snapToGrid w:val="0"/>
        <w:spacing w:before="156" w:beforeLines="50" w:after="50" w:line="360" w:lineRule="exact"/>
        <w:ind w:firstLine="720" w:firstLineChars="300"/>
        <w:rPr>
          <w:bCs/>
          <w:sz w:val="24"/>
          <w:highlight w:val="none"/>
        </w:rPr>
      </w:pPr>
      <w:r>
        <w:rPr>
          <w:bCs/>
          <w:sz w:val="24"/>
          <w:highlight w:val="none"/>
        </w:rPr>
        <w:t xml:space="preserve">项目名称： </w:t>
      </w:r>
    </w:p>
    <w:p w14:paraId="25E6BF4C">
      <w:pPr>
        <w:snapToGrid w:val="0"/>
        <w:spacing w:before="156" w:beforeLines="50" w:after="50" w:line="360" w:lineRule="exact"/>
        <w:ind w:firstLine="720" w:firstLineChars="300"/>
        <w:rPr>
          <w:bCs/>
          <w:sz w:val="24"/>
          <w:highlight w:val="none"/>
        </w:rPr>
      </w:pPr>
      <w:r>
        <w:rPr>
          <w:bCs/>
          <w:sz w:val="24"/>
          <w:highlight w:val="none"/>
        </w:rPr>
        <w:t xml:space="preserve">项目编号： </w:t>
      </w:r>
    </w:p>
    <w:p w14:paraId="035191F6">
      <w:pPr>
        <w:snapToGrid w:val="0"/>
        <w:spacing w:before="156" w:beforeLines="50" w:after="50" w:line="360" w:lineRule="exact"/>
        <w:ind w:firstLine="720" w:firstLineChars="300"/>
        <w:rPr>
          <w:bCs/>
          <w:sz w:val="24"/>
          <w:highlight w:val="none"/>
        </w:rPr>
      </w:pPr>
      <w:r>
        <w:rPr>
          <w:rFonts w:hint="eastAsia"/>
          <w:bCs/>
          <w:sz w:val="24"/>
          <w:highlight w:val="none"/>
          <w:lang w:eastAsia="zh-CN"/>
        </w:rPr>
        <w:t>供应商</w:t>
      </w:r>
      <w:r>
        <w:rPr>
          <w:bCs/>
          <w:sz w:val="24"/>
          <w:highlight w:val="none"/>
        </w:rPr>
        <w:t>（公章）：</w:t>
      </w:r>
    </w:p>
    <w:p w14:paraId="561A815B">
      <w:pPr>
        <w:pStyle w:val="15"/>
        <w:snapToGrid w:val="0"/>
        <w:spacing w:before="50" w:after="50" w:line="360" w:lineRule="exact"/>
        <w:ind w:firstLine="960" w:firstLineChars="400"/>
        <w:rPr>
          <w:bCs/>
          <w:sz w:val="24"/>
          <w:szCs w:val="24"/>
          <w:highlight w:val="none"/>
        </w:rPr>
      </w:pPr>
    </w:p>
    <w:p w14:paraId="21429AF3">
      <w:pPr>
        <w:pStyle w:val="15"/>
        <w:snapToGrid w:val="0"/>
        <w:spacing w:before="50" w:after="50" w:line="360" w:lineRule="exact"/>
        <w:ind w:firstLine="960" w:firstLineChars="400"/>
        <w:rPr>
          <w:bCs/>
          <w:sz w:val="24"/>
          <w:szCs w:val="24"/>
          <w:highlight w:val="none"/>
        </w:rPr>
      </w:pPr>
    </w:p>
    <w:p w14:paraId="7079A084">
      <w:pPr>
        <w:snapToGrid w:val="0"/>
        <w:spacing w:before="156" w:beforeLines="50" w:after="50" w:line="360" w:lineRule="exact"/>
        <w:jc w:val="center"/>
        <w:rPr>
          <w:sz w:val="24"/>
          <w:highlight w:val="none"/>
        </w:rPr>
      </w:pPr>
      <w:r>
        <w:rPr>
          <w:sz w:val="24"/>
          <w:highlight w:val="none"/>
        </w:rPr>
        <w:t xml:space="preserve">                        年  月  日</w:t>
      </w:r>
    </w:p>
    <w:p w14:paraId="0ABA5A31">
      <w:pPr>
        <w:snapToGrid w:val="0"/>
        <w:spacing w:before="156" w:beforeLines="50" w:after="50" w:line="440" w:lineRule="exact"/>
        <w:rPr>
          <w:sz w:val="24"/>
          <w:highlight w:val="none"/>
        </w:rPr>
      </w:pPr>
      <w:r>
        <w:rPr>
          <w:sz w:val="24"/>
          <w:highlight w:val="none"/>
        </w:rPr>
        <w:br w:type="page"/>
      </w:r>
    </w:p>
    <w:p w14:paraId="535AA65B">
      <w:pPr>
        <w:snapToGrid w:val="0"/>
        <w:spacing w:before="156" w:beforeLines="50" w:after="50" w:line="440" w:lineRule="exact"/>
        <w:jc w:val="center"/>
        <w:rPr>
          <w:b/>
          <w:sz w:val="24"/>
          <w:highlight w:val="none"/>
        </w:rPr>
      </w:pPr>
      <w:r>
        <w:rPr>
          <w:rFonts w:hint="eastAsia"/>
          <w:b/>
          <w:sz w:val="24"/>
          <w:highlight w:val="none"/>
        </w:rPr>
        <w:t>评分索引</w:t>
      </w:r>
    </w:p>
    <w:tbl>
      <w:tblPr>
        <w:tblStyle w:val="42"/>
        <w:tblW w:w="102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52"/>
        <w:gridCol w:w="827"/>
        <w:gridCol w:w="823"/>
        <w:gridCol w:w="7027"/>
        <w:gridCol w:w="975"/>
      </w:tblGrid>
      <w:tr w14:paraId="66C38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72" w:hRule="atLeast"/>
          <w:tblHeader/>
          <w:jc w:val="center"/>
        </w:trPr>
        <w:tc>
          <w:tcPr>
            <w:tcW w:w="552" w:type="dxa"/>
            <w:tcBorders>
              <w:top w:val="single" w:color="auto" w:sz="4" w:space="0"/>
              <w:left w:val="single" w:color="auto" w:sz="4" w:space="0"/>
              <w:bottom w:val="single" w:color="auto" w:sz="4" w:space="0"/>
              <w:right w:val="single" w:color="auto" w:sz="4" w:space="0"/>
            </w:tcBorders>
            <w:vAlign w:val="center"/>
          </w:tcPr>
          <w:p w14:paraId="6BB8321F">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rPr>
              <w:t>条款号</w:t>
            </w:r>
          </w:p>
        </w:tc>
        <w:tc>
          <w:tcPr>
            <w:tcW w:w="1650" w:type="dxa"/>
            <w:gridSpan w:val="2"/>
            <w:tcBorders>
              <w:top w:val="single" w:color="auto" w:sz="4" w:space="0"/>
              <w:left w:val="single" w:color="auto" w:sz="4" w:space="0"/>
              <w:bottom w:val="single" w:color="auto" w:sz="4" w:space="0"/>
              <w:right w:val="single" w:color="auto" w:sz="4" w:space="0"/>
            </w:tcBorders>
            <w:vAlign w:val="center"/>
          </w:tcPr>
          <w:p w14:paraId="421BCAF8">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评审因素</w:t>
            </w:r>
          </w:p>
        </w:tc>
        <w:tc>
          <w:tcPr>
            <w:tcW w:w="7027" w:type="dxa"/>
            <w:tcBorders>
              <w:top w:val="single" w:color="auto" w:sz="4" w:space="0"/>
              <w:left w:val="single" w:color="auto" w:sz="4" w:space="0"/>
              <w:bottom w:val="single" w:color="auto" w:sz="4" w:space="0"/>
              <w:right w:val="single" w:color="auto" w:sz="4" w:space="0"/>
            </w:tcBorders>
            <w:vAlign w:val="center"/>
          </w:tcPr>
          <w:p w14:paraId="22ACD256">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sz w:val="21"/>
                <w:szCs w:val="21"/>
                <w:highlight w:val="none"/>
              </w:rPr>
              <w:t>评审标准</w:t>
            </w:r>
          </w:p>
        </w:tc>
        <w:tc>
          <w:tcPr>
            <w:tcW w:w="975" w:type="dxa"/>
            <w:tcBorders>
              <w:top w:val="single" w:color="auto" w:sz="4" w:space="0"/>
              <w:left w:val="single" w:color="auto" w:sz="4" w:space="0"/>
              <w:bottom w:val="single" w:color="auto" w:sz="4" w:space="0"/>
              <w:right w:val="single" w:color="auto" w:sz="4" w:space="0"/>
            </w:tcBorders>
            <w:vAlign w:val="center"/>
          </w:tcPr>
          <w:p w14:paraId="4F0C8BA0">
            <w:pPr>
              <w:pStyle w:val="25"/>
              <w:keepNext w:val="0"/>
              <w:keepLines w:val="0"/>
              <w:pageBreakBefore w:val="0"/>
              <w:wordWrap/>
              <w:topLinePunct w:val="0"/>
              <w:bidi w:val="0"/>
              <w:adjustRightInd/>
              <w:spacing w:line="400" w:lineRule="exact"/>
              <w:jc w:val="center"/>
              <w:textAlignment w:val="auto"/>
              <w:rPr>
                <w:rFonts w:hint="eastAsia" w:asciiTheme="minorEastAsia" w:hAnsiTheme="minorEastAsia" w:eastAsiaTheme="minorEastAsia" w:cstheme="minorEastAsia"/>
                <w:b/>
                <w:bCs/>
                <w:sz w:val="21"/>
                <w:szCs w:val="21"/>
                <w:highlight w:val="none"/>
              </w:rPr>
            </w:pPr>
            <w:r>
              <w:rPr>
                <w:rFonts w:hint="eastAsia" w:asciiTheme="minorEastAsia" w:hAnsiTheme="minorEastAsia" w:eastAsiaTheme="minorEastAsia" w:cstheme="minorEastAsia"/>
                <w:b/>
                <w:bCs/>
                <w:highlight w:val="none"/>
                <w:lang w:val="en-US" w:eastAsia="zh-CN"/>
              </w:rPr>
              <w:t>响应</w:t>
            </w:r>
            <w:r>
              <w:rPr>
                <w:rFonts w:hint="eastAsia" w:asciiTheme="minorEastAsia" w:hAnsiTheme="minorEastAsia" w:eastAsiaTheme="minorEastAsia" w:cstheme="minorEastAsia"/>
                <w:b/>
                <w:bCs/>
                <w:highlight w:val="none"/>
              </w:rPr>
              <w:t>文件所在页码</w:t>
            </w:r>
          </w:p>
        </w:tc>
      </w:tr>
      <w:tr w14:paraId="41A0D8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restart"/>
            <w:tcBorders>
              <w:top w:val="single" w:color="auto" w:sz="4" w:space="0"/>
              <w:left w:val="single" w:color="auto" w:sz="4" w:space="0"/>
              <w:right w:val="single" w:color="auto" w:sz="4" w:space="0"/>
            </w:tcBorders>
            <w:noWrap w:val="0"/>
            <w:vAlign w:val="center"/>
          </w:tcPr>
          <w:p w14:paraId="7C2A1133">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1</w:t>
            </w:r>
          </w:p>
        </w:tc>
        <w:tc>
          <w:tcPr>
            <w:tcW w:w="827" w:type="dxa"/>
            <w:vMerge w:val="restart"/>
            <w:tcBorders>
              <w:top w:val="single" w:color="auto" w:sz="4" w:space="0"/>
              <w:left w:val="single" w:color="auto" w:sz="4" w:space="0"/>
              <w:right w:val="single" w:color="auto" w:sz="4" w:space="0"/>
            </w:tcBorders>
            <w:noWrap w:val="0"/>
            <w:vAlign w:val="center"/>
          </w:tcPr>
          <w:p w14:paraId="627D7608">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商务</w:t>
            </w:r>
          </w:p>
          <w:p w14:paraId="52C979F4">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（10分）</w:t>
            </w:r>
          </w:p>
        </w:tc>
        <w:tc>
          <w:tcPr>
            <w:tcW w:w="823" w:type="dxa"/>
            <w:tcBorders>
              <w:top w:val="single" w:color="auto" w:sz="4" w:space="0"/>
              <w:left w:val="single" w:color="auto" w:sz="4" w:space="0"/>
              <w:bottom w:val="single" w:color="auto" w:sz="4" w:space="0"/>
              <w:right w:val="single" w:color="auto" w:sz="4" w:space="0"/>
            </w:tcBorders>
            <w:noWrap w:val="0"/>
            <w:vAlign w:val="center"/>
          </w:tcPr>
          <w:p w14:paraId="759C6BBD">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业绩</w:t>
            </w:r>
          </w:p>
          <w:p w14:paraId="223F4479">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（7分）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2AC8BFE5">
            <w:pPr>
              <w:pStyle w:val="25"/>
              <w:keepNext w:val="0"/>
              <w:keepLines w:val="0"/>
              <w:pageBreakBefore w:val="0"/>
              <w:kinsoku/>
              <w:wordWrap/>
              <w:overflowPunct/>
              <w:topLinePunct w:val="0"/>
              <w:autoSpaceDE/>
              <w:autoSpaceDN/>
              <w:bidi w:val="0"/>
              <w:adjustRightInd/>
              <w:snapToGrid/>
              <w:spacing w:line="380" w:lineRule="exact"/>
              <w:jc w:val="both"/>
              <w:textAlignment w:val="auto"/>
              <w:rPr>
                <w:rFonts w:hint="eastAsia" w:ascii="宋体" w:hAnsi="宋体" w:eastAsia="宋体" w:cs="宋体"/>
                <w:bCs/>
                <w:sz w:val="21"/>
                <w:szCs w:val="21"/>
                <w:highlight w:val="none"/>
                <w:lang w:val="en-US" w:eastAsia="zh-CN"/>
              </w:rPr>
            </w:pPr>
            <w:r>
              <w:rPr>
                <w:rFonts w:hint="eastAsia" w:hAnsi="宋体" w:eastAsia="宋体" w:cs="宋体"/>
                <w:bCs/>
                <w:sz w:val="21"/>
                <w:szCs w:val="21"/>
                <w:highlight w:val="none"/>
                <w:lang w:val="en-US" w:eastAsia="zh-CN"/>
              </w:rPr>
              <w:t>供应商</w:t>
            </w:r>
            <w:r>
              <w:rPr>
                <w:rFonts w:hint="eastAsia" w:ascii="宋体" w:hAnsi="宋体" w:eastAsia="宋体" w:cs="宋体"/>
                <w:bCs/>
                <w:sz w:val="21"/>
                <w:szCs w:val="21"/>
                <w:highlight w:val="none"/>
                <w:lang w:val="en-US" w:eastAsia="zh-CN"/>
              </w:rPr>
              <w:t>自20</w:t>
            </w:r>
            <w:r>
              <w:rPr>
                <w:rFonts w:hint="eastAsia" w:hAnsi="宋体" w:eastAsia="宋体" w:cs="宋体"/>
                <w:bCs/>
                <w:sz w:val="21"/>
                <w:szCs w:val="21"/>
                <w:highlight w:val="none"/>
                <w:lang w:val="en-US" w:eastAsia="zh-CN"/>
              </w:rPr>
              <w:t>24</w:t>
            </w:r>
            <w:r>
              <w:rPr>
                <w:rFonts w:hint="eastAsia" w:ascii="宋体" w:hAnsi="宋体" w:eastAsia="宋体" w:cs="宋体"/>
                <w:bCs/>
                <w:sz w:val="21"/>
                <w:szCs w:val="21"/>
                <w:highlight w:val="none"/>
                <w:lang w:val="en-US" w:eastAsia="zh-CN"/>
              </w:rPr>
              <w:t>年1月1日以来</w:t>
            </w:r>
            <w:r>
              <w:rPr>
                <w:rFonts w:hint="eastAsia" w:hAnsi="宋体" w:eastAsia="宋体" w:cs="宋体"/>
                <w:bCs/>
                <w:sz w:val="21"/>
                <w:szCs w:val="21"/>
                <w:highlight w:val="none"/>
                <w:lang w:val="en-US" w:eastAsia="zh-CN"/>
              </w:rPr>
              <w:t>至今自评估</w:t>
            </w:r>
            <w:r>
              <w:rPr>
                <w:rFonts w:hint="eastAsia" w:ascii="宋体" w:hAnsi="宋体" w:eastAsia="宋体" w:cs="宋体"/>
                <w:bCs/>
                <w:sz w:val="21"/>
                <w:szCs w:val="21"/>
                <w:highlight w:val="none"/>
                <w:lang w:val="en-US" w:eastAsia="zh-CN"/>
              </w:rPr>
              <w:t>项目业绩，每提供一个得</w:t>
            </w:r>
            <w:r>
              <w:rPr>
                <w:rFonts w:hint="eastAsia" w:hAnsi="宋体" w:eastAsia="宋体" w:cs="宋体"/>
                <w:bCs/>
                <w:sz w:val="21"/>
                <w:szCs w:val="21"/>
                <w:highlight w:val="none"/>
                <w:lang w:val="en-US" w:eastAsia="zh-CN"/>
              </w:rPr>
              <w:t>1</w:t>
            </w:r>
            <w:r>
              <w:rPr>
                <w:rFonts w:hint="eastAsia" w:ascii="宋体" w:hAnsi="宋体" w:eastAsia="宋体" w:cs="宋体"/>
                <w:bCs/>
                <w:sz w:val="21"/>
                <w:szCs w:val="21"/>
                <w:highlight w:val="none"/>
                <w:lang w:val="en-US" w:eastAsia="zh-CN"/>
              </w:rPr>
              <w:t>分，满分</w:t>
            </w:r>
            <w:r>
              <w:rPr>
                <w:rFonts w:hint="eastAsia" w:hAnsi="宋体" w:eastAsia="宋体" w:cs="宋体"/>
                <w:bCs/>
                <w:sz w:val="21"/>
                <w:szCs w:val="21"/>
                <w:highlight w:val="none"/>
                <w:lang w:val="en-US" w:eastAsia="zh-CN"/>
              </w:rPr>
              <w:t>7</w:t>
            </w:r>
            <w:r>
              <w:rPr>
                <w:rFonts w:hint="eastAsia" w:ascii="宋体" w:hAnsi="宋体" w:eastAsia="宋体" w:cs="宋体"/>
                <w:bCs/>
                <w:sz w:val="21"/>
                <w:szCs w:val="21"/>
                <w:highlight w:val="none"/>
                <w:lang w:val="en-US" w:eastAsia="zh-CN"/>
              </w:rPr>
              <w:t>分。</w:t>
            </w:r>
          </w:p>
          <w:p w14:paraId="6544987E">
            <w:pPr>
              <w:pStyle w:val="25"/>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sz w:val="21"/>
                <w:szCs w:val="21"/>
                <w:highlight w:val="none"/>
                <w:lang w:val="en-US" w:eastAsia="zh-CN"/>
              </w:rPr>
              <w:t>合同以签订时间为准，能清晰反映项目名称、合同执行时间、及合同双方盖章等内容，如有缺漏，视为无效业绩</w:t>
            </w:r>
            <w:r>
              <w:rPr>
                <w:rFonts w:hint="eastAsia" w:ascii="宋体" w:hAnsi="宋体" w:eastAsia="宋体" w:cs="宋体"/>
                <w:sz w:val="21"/>
                <w:szCs w:val="21"/>
                <w:highlight w:val="none"/>
                <w:lang w:val="en-US" w:eastAsia="zh-CN"/>
              </w:rPr>
              <w:t>。提供合同复印件并加盖供应商公章。</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2F906CE">
            <w:pPr>
              <w:pStyle w:val="25"/>
              <w:keepNext w:val="0"/>
              <w:keepLines w:val="0"/>
              <w:pageBreakBefore w:val="0"/>
              <w:kinsoku/>
              <w:wordWrap/>
              <w:overflowPunct/>
              <w:topLinePunct w:val="0"/>
              <w:autoSpaceDE/>
              <w:autoSpaceDN/>
              <w:bidi w:val="0"/>
              <w:adjustRightInd/>
              <w:snapToGrid/>
              <w:spacing w:line="400" w:lineRule="exact"/>
              <w:jc w:val="both"/>
              <w:textAlignment w:val="auto"/>
              <w:rPr>
                <w:rFonts w:hint="eastAsia" w:ascii="宋体" w:hAnsi="宋体" w:eastAsia="宋体" w:cs="宋体"/>
                <w:bCs/>
                <w:sz w:val="21"/>
                <w:szCs w:val="21"/>
                <w:highlight w:val="none"/>
                <w:lang w:val="en-US" w:eastAsia="zh-CN"/>
              </w:rPr>
            </w:pPr>
          </w:p>
        </w:tc>
      </w:tr>
      <w:tr w14:paraId="3048C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42" w:hRule="atLeast"/>
          <w:jc w:val="center"/>
        </w:trPr>
        <w:tc>
          <w:tcPr>
            <w:tcW w:w="552" w:type="dxa"/>
            <w:vMerge w:val="continue"/>
            <w:tcBorders>
              <w:left w:val="single" w:color="auto" w:sz="4" w:space="0"/>
              <w:right w:val="single" w:color="auto" w:sz="4" w:space="0"/>
            </w:tcBorders>
            <w:noWrap w:val="0"/>
            <w:vAlign w:val="center"/>
          </w:tcPr>
          <w:p w14:paraId="45DAF285">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27" w:type="dxa"/>
            <w:vMerge w:val="continue"/>
            <w:tcBorders>
              <w:left w:val="single" w:color="auto" w:sz="4" w:space="0"/>
              <w:right w:val="single" w:color="auto" w:sz="4" w:space="0"/>
            </w:tcBorders>
            <w:noWrap w:val="0"/>
            <w:vAlign w:val="center"/>
          </w:tcPr>
          <w:p w14:paraId="22268FB4">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823" w:type="dxa"/>
            <w:tcBorders>
              <w:top w:val="single" w:color="auto" w:sz="4" w:space="0"/>
              <w:left w:val="single" w:color="auto" w:sz="4" w:space="0"/>
              <w:bottom w:val="single" w:color="auto" w:sz="4" w:space="0"/>
              <w:right w:val="single" w:color="auto" w:sz="4" w:space="0"/>
            </w:tcBorders>
            <w:noWrap w:val="0"/>
            <w:vAlign w:val="center"/>
          </w:tcPr>
          <w:p w14:paraId="042C5272">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资质情况</w:t>
            </w:r>
          </w:p>
          <w:p w14:paraId="7734FF9B">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3</w:t>
            </w:r>
            <w:r>
              <w:rPr>
                <w:rFonts w:hint="eastAsia" w:ascii="宋体" w:hAnsi="宋体" w:eastAsia="宋体" w:cs="宋体"/>
                <w:bCs/>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197AE349">
            <w:pPr>
              <w:pStyle w:val="2"/>
              <w:keepNext w:val="0"/>
              <w:keepLines w:val="0"/>
              <w:pageBreakBefore w:val="0"/>
              <w:shd w:val="clear"/>
              <w:wordWrap/>
              <w:topLinePunct w:val="0"/>
              <w:autoSpaceDE/>
              <w:autoSpaceDN/>
              <w:bidi w:val="0"/>
              <w:spacing w:after="0" w:line="380" w:lineRule="exact"/>
              <w:textAlignment w:val="auto"/>
              <w:rPr>
                <w:rFonts w:hint="eastAsia" w:ascii="宋体" w:hAnsi="宋体" w:eastAsia="宋体" w:cs="宋体"/>
                <w:bCs/>
                <w:kern w:val="2"/>
                <w:sz w:val="21"/>
                <w:szCs w:val="21"/>
                <w:highlight w:val="none"/>
                <w:lang w:val="en-US" w:eastAsia="zh-CN" w:bidi="ar-SA"/>
              </w:rPr>
            </w:pPr>
            <w:r>
              <w:rPr>
                <w:rFonts w:hint="eastAsia" w:ascii="宋体" w:hAnsi="宋体" w:eastAsia="宋体" w:cs="宋体"/>
                <w:bCs/>
                <w:kern w:val="2"/>
                <w:sz w:val="21"/>
                <w:szCs w:val="21"/>
                <w:highlight w:val="none"/>
                <w:lang w:val="en-US" w:eastAsia="zh-CN" w:bidi="ar-SA"/>
              </w:rPr>
              <w:t>供应商具有以下相关认证证书，每提供1个有效证书得1分，满分</w:t>
            </w:r>
            <w:r>
              <w:rPr>
                <w:rFonts w:hint="eastAsia" w:ascii="宋体" w:hAnsi="宋体" w:cs="宋体"/>
                <w:bCs/>
                <w:kern w:val="2"/>
                <w:sz w:val="21"/>
                <w:szCs w:val="21"/>
                <w:highlight w:val="none"/>
                <w:lang w:val="en-US" w:eastAsia="zh-CN" w:bidi="ar-SA"/>
              </w:rPr>
              <w:t>3</w:t>
            </w:r>
            <w:r>
              <w:rPr>
                <w:rFonts w:hint="eastAsia" w:ascii="宋体" w:hAnsi="宋体" w:eastAsia="宋体" w:cs="宋体"/>
                <w:bCs/>
                <w:kern w:val="2"/>
                <w:sz w:val="21"/>
                <w:szCs w:val="21"/>
                <w:highlight w:val="none"/>
                <w:lang w:val="en-US" w:eastAsia="zh-CN" w:bidi="ar-SA"/>
              </w:rPr>
              <w:t>分：</w:t>
            </w:r>
          </w:p>
          <w:p w14:paraId="2FDE1542">
            <w:pPr>
              <w:pStyle w:val="2"/>
              <w:keepNext w:val="0"/>
              <w:keepLines w:val="0"/>
              <w:pageBreakBefore w:val="0"/>
              <w:numPr>
                <w:ilvl w:val="0"/>
                <w:numId w:val="6"/>
              </w:numPr>
              <w:shd w:val="clear"/>
              <w:wordWrap/>
              <w:topLinePunct w:val="0"/>
              <w:autoSpaceDE/>
              <w:autoSpaceDN/>
              <w:bidi w:val="0"/>
              <w:spacing w:after="0" w:line="380" w:lineRule="exact"/>
              <w:textAlignment w:val="auto"/>
              <w:rPr>
                <w:rFonts w:hint="default" w:ascii="宋体" w:hAnsi="宋体" w:eastAsia="宋体" w:cs="宋体"/>
                <w:bCs/>
                <w:kern w:val="2"/>
                <w:sz w:val="21"/>
                <w:szCs w:val="21"/>
                <w:highlight w:val="none"/>
                <w:lang w:val="en-US" w:eastAsia="zh-CN" w:bidi="ar-SA"/>
              </w:rPr>
            </w:pPr>
            <w:r>
              <w:rPr>
                <w:rFonts w:hint="default" w:ascii="宋体" w:hAnsi="宋体" w:eastAsia="宋体" w:cs="宋体"/>
                <w:bCs/>
                <w:kern w:val="2"/>
                <w:sz w:val="21"/>
                <w:szCs w:val="21"/>
                <w:highlight w:val="none"/>
                <w:lang w:val="en-US" w:eastAsia="zh-CN" w:bidi="ar-SA"/>
              </w:rPr>
              <w:t>信息安全管理体系认证证书；</w:t>
            </w:r>
          </w:p>
          <w:p w14:paraId="50CFADD1">
            <w:pPr>
              <w:pStyle w:val="2"/>
              <w:keepNext w:val="0"/>
              <w:keepLines w:val="0"/>
              <w:pageBreakBefore w:val="0"/>
              <w:numPr>
                <w:ilvl w:val="0"/>
                <w:numId w:val="6"/>
              </w:numPr>
              <w:shd w:val="clear"/>
              <w:wordWrap/>
              <w:topLinePunct w:val="0"/>
              <w:autoSpaceDE/>
              <w:autoSpaceDN/>
              <w:bidi w:val="0"/>
              <w:spacing w:after="0" w:line="380" w:lineRule="exact"/>
              <w:textAlignment w:val="auto"/>
              <w:rPr>
                <w:rFonts w:hint="eastAsia" w:ascii="宋体" w:hAnsi="宋体" w:eastAsia="宋体" w:cs="宋体"/>
                <w:sz w:val="21"/>
                <w:szCs w:val="21"/>
                <w:highlight w:val="none"/>
                <w:lang w:val="en-US" w:eastAsia="zh-CN"/>
              </w:rPr>
            </w:pPr>
            <w:r>
              <w:rPr>
                <w:rFonts w:hint="default" w:ascii="宋体" w:hAnsi="宋体" w:eastAsia="宋体" w:cs="宋体"/>
                <w:bCs/>
                <w:kern w:val="2"/>
                <w:sz w:val="21"/>
                <w:szCs w:val="21"/>
                <w:highlight w:val="none"/>
                <w:lang w:val="en-US" w:eastAsia="zh-CN" w:bidi="ar-SA"/>
              </w:rPr>
              <w:t>质量管理体系认证证书；</w:t>
            </w:r>
          </w:p>
          <w:p w14:paraId="364AD4BD">
            <w:pPr>
              <w:pStyle w:val="2"/>
              <w:numPr>
                <w:ilvl w:val="0"/>
                <w:numId w:val="6"/>
              </w:numPr>
              <w:spacing w:line="380" w:lineRule="exact"/>
              <w:ind w:left="0" w:leftChars="0" w:firstLine="0" w:firstLineChars="0"/>
              <w:rPr>
                <w:rFonts w:hint="eastAsia" w:ascii="宋体" w:hAnsi="宋体" w:eastAsia="宋体" w:cs="宋体"/>
                <w:sz w:val="21"/>
                <w:szCs w:val="21"/>
                <w:highlight w:val="none"/>
                <w:lang w:val="en-US" w:eastAsia="zh-CN"/>
              </w:rPr>
            </w:pPr>
            <w:r>
              <w:rPr>
                <w:rFonts w:hint="default" w:ascii="宋体" w:hAnsi="宋体" w:eastAsia="宋体" w:cs="宋体"/>
                <w:bCs/>
                <w:kern w:val="2"/>
                <w:sz w:val="21"/>
                <w:szCs w:val="21"/>
                <w:highlight w:val="none"/>
                <w:lang w:val="en-US" w:eastAsia="zh-CN" w:bidi="ar-SA"/>
              </w:rPr>
              <w:t>数据安全相关认证证书；</w:t>
            </w:r>
          </w:p>
          <w:p w14:paraId="1A0C0F4C">
            <w:pPr>
              <w:pStyle w:val="2"/>
              <w:keepNext w:val="0"/>
              <w:keepLines w:val="0"/>
              <w:pageBreakBefore w:val="0"/>
              <w:numPr>
                <w:ilvl w:val="0"/>
                <w:numId w:val="0"/>
              </w:numPr>
              <w:shd w:val="clear"/>
              <w:wordWrap/>
              <w:topLinePunct w:val="0"/>
              <w:autoSpaceDE/>
              <w:autoSpaceDN/>
              <w:bidi w:val="0"/>
              <w:spacing w:after="0" w:line="380" w:lineRule="exact"/>
              <w:ind w:left="0" w:leftChars="0" w:firstLine="0" w:firstLineChars="0"/>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kern w:val="2"/>
                <w:sz w:val="21"/>
                <w:szCs w:val="21"/>
                <w:highlight w:val="none"/>
                <w:lang w:val="en-US" w:eastAsia="zh-CN" w:bidi="ar-SA"/>
              </w:rPr>
              <w:t>注</w:t>
            </w:r>
            <w:r>
              <w:rPr>
                <w:rFonts w:hint="default" w:ascii="宋体" w:hAnsi="宋体" w:eastAsia="宋体" w:cs="宋体"/>
                <w:bCs/>
                <w:kern w:val="2"/>
                <w:sz w:val="21"/>
                <w:szCs w:val="21"/>
                <w:highlight w:val="none"/>
                <w:lang w:val="en-US" w:eastAsia="zh-CN" w:bidi="ar-SA"/>
              </w:rPr>
              <w:t>：提供证书复印件并加盖公章，所有证书须在有效期内。</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22DBC950">
            <w:pPr>
              <w:pStyle w:val="2"/>
              <w:keepNext w:val="0"/>
              <w:keepLines w:val="0"/>
              <w:pageBreakBefore w:val="0"/>
              <w:numPr>
                <w:ilvl w:val="0"/>
                <w:numId w:val="0"/>
              </w:numPr>
              <w:shd w:val="clear"/>
              <w:wordWrap/>
              <w:topLinePunct w:val="0"/>
              <w:autoSpaceDE/>
              <w:autoSpaceDN/>
              <w:bidi w:val="0"/>
              <w:spacing w:after="0" w:line="380" w:lineRule="exact"/>
              <w:ind w:left="0" w:leftChars="0" w:firstLine="0" w:firstLineChars="0"/>
              <w:textAlignment w:val="auto"/>
              <w:rPr>
                <w:rFonts w:hint="eastAsia" w:ascii="宋体" w:hAnsi="宋体" w:eastAsia="宋体" w:cs="宋体"/>
                <w:bCs/>
                <w:kern w:val="2"/>
                <w:sz w:val="21"/>
                <w:szCs w:val="21"/>
                <w:highlight w:val="none"/>
                <w:lang w:val="en-US" w:eastAsia="zh-CN" w:bidi="ar-SA"/>
              </w:rPr>
            </w:pPr>
          </w:p>
        </w:tc>
      </w:tr>
      <w:tr w14:paraId="5EE4F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552" w:type="dxa"/>
            <w:vMerge w:val="restart"/>
            <w:tcBorders>
              <w:top w:val="single" w:color="auto" w:sz="4" w:space="0"/>
              <w:left w:val="single" w:color="auto" w:sz="4" w:space="0"/>
              <w:right w:val="single" w:color="auto" w:sz="4" w:space="0"/>
            </w:tcBorders>
            <w:noWrap w:val="0"/>
            <w:vAlign w:val="center"/>
          </w:tcPr>
          <w:p w14:paraId="185CA2FF">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2</w:t>
            </w:r>
          </w:p>
        </w:tc>
        <w:tc>
          <w:tcPr>
            <w:tcW w:w="827" w:type="dxa"/>
            <w:vMerge w:val="restart"/>
            <w:tcBorders>
              <w:top w:val="single" w:color="auto" w:sz="4" w:space="0"/>
              <w:left w:val="single" w:color="auto" w:sz="4" w:space="0"/>
              <w:right w:val="single" w:color="auto" w:sz="4" w:space="0"/>
            </w:tcBorders>
            <w:noWrap w:val="0"/>
            <w:vAlign w:val="center"/>
          </w:tcPr>
          <w:p w14:paraId="17CC43CD">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Cs/>
                <w:sz w:val="21"/>
                <w:szCs w:val="21"/>
                <w:highlight w:val="none"/>
                <w:lang w:val="en-US" w:eastAsia="zh-CN"/>
              </w:rPr>
              <w:t>技术</w:t>
            </w:r>
          </w:p>
          <w:p w14:paraId="4387C45B">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Theme="minorEastAsia" w:hAnsiTheme="minorEastAsia" w:eastAsiaTheme="minorEastAsia" w:cstheme="minorEastAsia"/>
                <w:b w:val="0"/>
                <w:bCs/>
                <w:color w:val="auto"/>
                <w:sz w:val="21"/>
                <w:szCs w:val="21"/>
                <w:highlight w:val="none"/>
                <w:lang w:val="en-US" w:eastAsia="zh-CN"/>
              </w:rPr>
              <w:t>（60分）</w:t>
            </w:r>
          </w:p>
        </w:tc>
        <w:tc>
          <w:tcPr>
            <w:tcW w:w="823" w:type="dxa"/>
            <w:tcBorders>
              <w:top w:val="single" w:color="auto" w:sz="4" w:space="0"/>
              <w:left w:val="single" w:color="auto" w:sz="4" w:space="0"/>
              <w:right w:val="single" w:color="auto" w:sz="4" w:space="0"/>
            </w:tcBorders>
            <w:noWrap w:val="0"/>
            <w:vAlign w:val="center"/>
          </w:tcPr>
          <w:p w14:paraId="235B4897">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实际配置人员</w:t>
            </w:r>
          </w:p>
          <w:p w14:paraId="7A86C669">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15</w:t>
            </w:r>
            <w:r>
              <w:rPr>
                <w:rFonts w:hint="eastAsia" w:ascii="宋体" w:hAnsi="宋体" w:eastAsia="宋体" w:cs="宋体"/>
                <w:bCs/>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53EAD58F">
            <w:pPr>
              <w:pStyle w:val="25"/>
              <w:shd w:val="clea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根据供应商拟投入本项目的实际人员配置情况</w:t>
            </w:r>
            <w:r>
              <w:rPr>
                <w:rFonts w:hint="eastAsia" w:ascii="宋体" w:hAnsi="宋体" w:eastAsia="宋体" w:cs="宋体"/>
                <w:kern w:val="2"/>
                <w:sz w:val="21"/>
                <w:szCs w:val="21"/>
                <w:highlight w:val="none"/>
                <w:lang w:val="en-US" w:eastAsia="zh-CN" w:bidi="ar-SA"/>
              </w:rPr>
              <w:t>进行独立评审并按以下规定独立打分</w:t>
            </w:r>
            <w:r>
              <w:rPr>
                <w:rFonts w:hint="eastAsia" w:ascii="宋体" w:hAnsi="宋体" w:eastAsia="宋体" w:cs="宋体"/>
                <w:sz w:val="21"/>
                <w:szCs w:val="21"/>
                <w:highlight w:val="none"/>
                <w:lang w:eastAsia="zh-CN"/>
              </w:rPr>
              <w:t>：</w:t>
            </w:r>
          </w:p>
          <w:p w14:paraId="388484AD">
            <w:pPr>
              <w:pStyle w:val="25"/>
              <w:shd w:val="clea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一档（0</w:t>
            </w:r>
            <w:r>
              <w:rPr>
                <w:rFonts w:hint="eastAsia" w:ascii="宋体" w:hAnsi="宋体" w:eastAsia="宋体" w:cs="宋体"/>
                <w:sz w:val="21"/>
                <w:szCs w:val="21"/>
                <w:highlight w:val="none"/>
                <w:lang w:val="en-US" w:eastAsia="zh-CN"/>
              </w:rPr>
              <w:t>.1</w:t>
            </w:r>
            <w:r>
              <w:rPr>
                <w:rFonts w:hint="eastAsia" w:ascii="宋体" w:hAnsi="宋体" w:eastAsia="宋体" w:cs="宋体"/>
                <w:sz w:val="21"/>
                <w:szCs w:val="21"/>
                <w:highlight w:val="none"/>
                <w:lang w:eastAsia="zh-CN"/>
              </w:rPr>
              <w:t>-</w:t>
            </w:r>
            <w:r>
              <w:rPr>
                <w:rFonts w:hint="eastAsia" w:hAnsi="宋体" w:eastAsia="宋体" w:cs="宋体"/>
                <w:sz w:val="21"/>
                <w:szCs w:val="21"/>
                <w:highlight w:val="none"/>
                <w:lang w:val="en-US" w:eastAsia="zh-CN"/>
              </w:rPr>
              <w:t>5</w:t>
            </w:r>
            <w:r>
              <w:rPr>
                <w:rFonts w:hint="eastAsia" w:ascii="宋体" w:hAnsi="宋体" w:eastAsia="宋体" w:cs="宋体"/>
                <w:sz w:val="21"/>
                <w:szCs w:val="21"/>
                <w:highlight w:val="none"/>
                <w:lang w:eastAsia="zh-CN"/>
              </w:rPr>
              <w:t xml:space="preserve"> 分）：</w:t>
            </w:r>
            <w:r>
              <w:rPr>
                <w:rFonts w:hint="eastAsia" w:ascii="宋体" w:hAnsi="宋体" w:eastAsia="宋体" w:cs="宋体"/>
                <w:highlight w:val="none"/>
              </w:rPr>
              <w:t>人员配置简单，</w:t>
            </w:r>
            <w:r>
              <w:rPr>
                <w:rFonts w:hint="eastAsia" w:ascii="宋体" w:hAnsi="宋体" w:eastAsia="宋体" w:cs="宋体"/>
                <w:sz w:val="21"/>
                <w:szCs w:val="21"/>
                <w:highlight w:val="none"/>
                <w:lang w:val="en-US" w:eastAsia="zh-CN"/>
              </w:rPr>
              <w:t>项目团队的人数</w:t>
            </w:r>
            <w:r>
              <w:rPr>
                <w:rFonts w:hint="eastAsia" w:hAnsi="宋体" w:eastAsia="宋体" w:cs="宋体"/>
                <w:highlight w:val="none"/>
                <w:lang w:val="en-US" w:eastAsia="zh-CN"/>
              </w:rPr>
              <w:t>少于3人、团队负责人</w:t>
            </w:r>
            <w:r>
              <w:rPr>
                <w:rFonts w:hint="eastAsia" w:ascii="宋体" w:hAnsi="宋体" w:eastAsia="宋体" w:cs="宋体"/>
                <w:sz w:val="21"/>
                <w:szCs w:val="21"/>
                <w:highlight w:val="none"/>
                <w:lang w:val="en-US" w:eastAsia="zh-CN"/>
              </w:rPr>
              <w:t>验</w:t>
            </w:r>
            <w:r>
              <w:rPr>
                <w:rFonts w:hint="eastAsia" w:hAnsi="宋体" w:eastAsia="宋体" w:cs="宋体"/>
                <w:sz w:val="21"/>
                <w:szCs w:val="21"/>
                <w:highlight w:val="none"/>
                <w:lang w:val="en-US" w:eastAsia="zh-CN"/>
              </w:rPr>
              <w:t>无银行业自评估经验</w:t>
            </w:r>
            <w:r>
              <w:rPr>
                <w:rFonts w:hint="eastAsia" w:ascii="宋体" w:hAnsi="宋体" w:eastAsia="宋体" w:cs="宋体"/>
                <w:sz w:val="21"/>
                <w:szCs w:val="21"/>
                <w:highlight w:val="none"/>
                <w:lang w:val="en-US" w:eastAsia="zh-CN"/>
              </w:rPr>
              <w:t>基本满足项目需求</w:t>
            </w:r>
            <w:r>
              <w:rPr>
                <w:rFonts w:hint="eastAsia" w:hAnsi="宋体" w:eastAsia="宋体" w:cs="宋体"/>
                <w:sz w:val="21"/>
                <w:szCs w:val="21"/>
                <w:highlight w:val="none"/>
                <w:lang w:val="en-US" w:eastAsia="zh-CN"/>
              </w:rPr>
              <w:t>，</w:t>
            </w:r>
            <w:r>
              <w:rPr>
                <w:rFonts w:hint="eastAsia" w:ascii="宋体" w:hAnsi="宋体" w:eastAsia="宋体" w:cs="宋体"/>
                <w:highlight w:val="none"/>
              </w:rPr>
              <w:t>管理方式一般</w:t>
            </w:r>
            <w:r>
              <w:rPr>
                <w:rFonts w:hint="eastAsia" w:ascii="宋体" w:hAnsi="宋体" w:eastAsia="宋体" w:cs="宋体"/>
                <w:sz w:val="21"/>
                <w:szCs w:val="21"/>
                <w:highlight w:val="none"/>
                <w:lang w:eastAsia="zh-CN"/>
              </w:rPr>
              <w:t>；</w:t>
            </w:r>
          </w:p>
          <w:p w14:paraId="38A5E252">
            <w:pPr>
              <w:keepNext w:val="0"/>
              <w:keepLines w:val="0"/>
              <w:pageBreakBefore w:val="0"/>
              <w:widowControl w:val="0"/>
              <w:shd w:val="clear"/>
              <w:kinsoku/>
              <w:wordWrap/>
              <w:overflowPunct/>
              <w:topLinePunct w:val="0"/>
              <w:autoSpaceDE/>
              <w:autoSpaceDN/>
              <w:bidi w:val="0"/>
              <w:adjustRightInd/>
              <w:snapToGrid/>
              <w:spacing w:line="380" w:lineRule="exact"/>
              <w:textAlignment w:val="auto"/>
              <w:rPr>
                <w:rFonts w:hint="eastAsia" w:ascii="宋体" w:hAnsi="宋体" w:eastAsia="宋体" w:cs="宋体"/>
                <w:bCs/>
                <w:sz w:val="21"/>
                <w:szCs w:val="21"/>
                <w:highlight w:val="none"/>
                <w:lang w:val="en-US" w:eastAsia="zh-CN"/>
              </w:rPr>
            </w:pPr>
            <w:r>
              <w:rPr>
                <w:rFonts w:hint="eastAsia" w:ascii="宋体" w:hAnsi="宋体" w:eastAsia="宋体" w:cs="宋体"/>
                <w:sz w:val="21"/>
                <w:szCs w:val="21"/>
                <w:highlight w:val="none"/>
                <w:lang w:eastAsia="zh-CN"/>
              </w:rPr>
              <w:t>二档（</w:t>
            </w:r>
            <w:r>
              <w:rPr>
                <w:rFonts w:hint="eastAsia" w:hAnsi="宋体" w:eastAsia="宋体" w:cs="宋体"/>
                <w:sz w:val="21"/>
                <w:szCs w:val="21"/>
                <w:highlight w:val="none"/>
                <w:lang w:val="en-US" w:eastAsia="zh-CN"/>
              </w:rPr>
              <w:t>5.1</w:t>
            </w:r>
            <w:r>
              <w:rPr>
                <w:rFonts w:hint="eastAsia" w:ascii="宋体" w:hAnsi="宋体" w:eastAsia="宋体" w:cs="宋体"/>
                <w:sz w:val="21"/>
                <w:szCs w:val="21"/>
                <w:highlight w:val="none"/>
                <w:lang w:eastAsia="zh-CN"/>
              </w:rPr>
              <w:t>-</w:t>
            </w:r>
            <w:r>
              <w:rPr>
                <w:rFonts w:hint="eastAsia" w:hAnsi="宋体" w:eastAsia="宋体" w:cs="宋体"/>
                <w:sz w:val="21"/>
                <w:szCs w:val="21"/>
                <w:highlight w:val="none"/>
                <w:lang w:val="en-US" w:eastAsia="zh-CN"/>
              </w:rPr>
              <w:t>10</w:t>
            </w:r>
            <w:r>
              <w:rPr>
                <w:rFonts w:hint="eastAsia" w:ascii="宋体" w:hAnsi="宋体" w:eastAsia="宋体" w:cs="宋体"/>
                <w:sz w:val="21"/>
                <w:szCs w:val="21"/>
                <w:highlight w:val="none"/>
                <w:lang w:eastAsia="zh-CN"/>
              </w:rPr>
              <w:t xml:space="preserve"> 分）：</w:t>
            </w:r>
            <w:r>
              <w:rPr>
                <w:rFonts w:hint="eastAsia" w:ascii="宋体" w:hAnsi="宋体" w:eastAsia="宋体" w:cs="宋体"/>
                <w:highlight w:val="none"/>
              </w:rPr>
              <w:t>人员配置合理，规章管理制度基本满足项目服务需求；具有管理服务运作流程，有一定的针对性和操作性，管理方式比较科学</w:t>
            </w:r>
            <w:r>
              <w:rPr>
                <w:rFonts w:hint="eastAsia" w:ascii="宋体" w:hAnsi="宋体" w:eastAsia="宋体" w:cs="宋体"/>
                <w:highlight w:val="none"/>
                <w:lang w:eastAsia="zh-CN"/>
              </w:rPr>
              <w:t>，</w:t>
            </w:r>
            <w:r>
              <w:rPr>
                <w:rFonts w:hint="eastAsia" w:ascii="宋体" w:hAnsi="宋体" w:eastAsia="宋体" w:cs="宋体"/>
                <w:sz w:val="21"/>
                <w:szCs w:val="21"/>
                <w:highlight w:val="none"/>
                <w:lang w:val="en-US" w:eastAsia="zh-CN"/>
              </w:rPr>
              <w:t>符合项目要求</w:t>
            </w:r>
            <w:r>
              <w:rPr>
                <w:rFonts w:hint="eastAsia" w:ascii="宋体" w:hAnsi="宋体" w:cs="宋体"/>
                <w:sz w:val="21"/>
                <w:szCs w:val="21"/>
                <w:highlight w:val="none"/>
                <w:lang w:val="en-US" w:eastAsia="zh-CN"/>
              </w:rPr>
              <w:t>；</w:t>
            </w:r>
          </w:p>
          <w:p w14:paraId="409F37BA">
            <w:pPr>
              <w:pStyle w:val="25"/>
              <w:shd w:val="clear"/>
              <w:spacing w:line="400" w:lineRule="exact"/>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eastAsia="zh-CN"/>
              </w:rPr>
              <w:t>三档（1</w:t>
            </w:r>
            <w:r>
              <w:rPr>
                <w:rFonts w:hint="eastAsia" w:ascii="宋体" w:hAnsi="宋体" w:eastAsia="宋体" w:cs="宋体"/>
                <w:sz w:val="21"/>
                <w:szCs w:val="21"/>
                <w:highlight w:val="none"/>
                <w:lang w:val="en-US" w:eastAsia="zh-CN"/>
              </w:rPr>
              <w:t>0.</w:t>
            </w:r>
            <w:r>
              <w:rPr>
                <w:rFonts w:hint="eastAsia" w:hAnsi="宋体" w:eastAsia="宋体" w:cs="宋体"/>
                <w:sz w:val="21"/>
                <w:szCs w:val="21"/>
                <w:highlight w:val="none"/>
                <w:lang w:val="en-US" w:eastAsia="zh-CN"/>
              </w:rPr>
              <w:t>1-15</w:t>
            </w:r>
            <w:r>
              <w:rPr>
                <w:rFonts w:hint="eastAsia" w:ascii="宋体" w:hAnsi="宋体" w:eastAsia="宋体" w:cs="宋体"/>
                <w:sz w:val="21"/>
                <w:szCs w:val="21"/>
                <w:highlight w:val="none"/>
                <w:lang w:eastAsia="zh-CN"/>
              </w:rPr>
              <w:t xml:space="preserve"> 分）：</w:t>
            </w:r>
            <w:r>
              <w:rPr>
                <w:rFonts w:hint="eastAsia" w:ascii="宋体" w:hAnsi="宋体" w:eastAsia="宋体" w:cs="宋体"/>
                <w:highlight w:val="none"/>
              </w:rPr>
              <w:t>人员配置充足</w:t>
            </w:r>
            <w:r>
              <w:rPr>
                <w:rFonts w:hint="eastAsia" w:ascii="宋体" w:hAnsi="宋体" w:eastAsia="宋体" w:cs="宋体"/>
                <w:highlight w:val="none"/>
                <w:lang w:eastAsia="zh-CN"/>
              </w:rPr>
              <w:t>，</w:t>
            </w:r>
            <w:r>
              <w:rPr>
                <w:rFonts w:hint="eastAsia" w:ascii="宋体" w:hAnsi="宋体" w:eastAsia="宋体" w:cs="宋体"/>
                <w:sz w:val="21"/>
                <w:szCs w:val="21"/>
                <w:highlight w:val="none"/>
                <w:lang w:val="en-US" w:eastAsia="zh-CN"/>
              </w:rPr>
              <w:t>项目团队资质较高、人员配备充分，具有同类项目的工作经验，专业程度高</w:t>
            </w:r>
            <w:r>
              <w:rPr>
                <w:rFonts w:hint="eastAsia" w:ascii="宋体" w:hAnsi="宋体" w:eastAsia="宋体" w:cs="宋体"/>
                <w:sz w:val="21"/>
                <w:szCs w:val="21"/>
                <w:highlight w:val="none"/>
                <w:lang w:eastAsia="zh-CN"/>
              </w:rPr>
              <w:t>，能全面保障项目实施。</w:t>
            </w:r>
          </w:p>
          <w:p w14:paraId="0FF5CAC4">
            <w:pPr>
              <w:pStyle w:val="13"/>
              <w:ind w:left="0"/>
              <w:rPr>
                <w:rFonts w:hint="eastAsia" w:ascii="宋体" w:hAnsi="宋体" w:eastAsia="宋体" w:cs="宋体"/>
                <w:sz w:val="21"/>
                <w:szCs w:val="21"/>
                <w:highlight w:val="none"/>
                <w:lang w:eastAsia="zh-CN"/>
              </w:rPr>
            </w:pPr>
            <w:r>
              <w:rPr>
                <w:rFonts w:hint="eastAsia" w:ascii="宋体" w:hAnsi="宋体" w:eastAsia="宋体" w:cs="宋体"/>
                <w:sz w:val="21"/>
                <w:szCs w:val="21"/>
                <w:highlight w:val="none"/>
                <w:lang w:val="en-US" w:eastAsia="zh-CN"/>
              </w:rPr>
              <w:t>注：</w:t>
            </w:r>
            <w:r>
              <w:rPr>
                <w:rFonts w:hint="eastAsia" w:ascii="宋体" w:hAnsi="宋体" w:eastAsia="宋体" w:cs="宋体"/>
                <w:sz w:val="21"/>
                <w:szCs w:val="21"/>
                <w:highlight w:val="none"/>
              </w:rPr>
              <w:t>①</w:t>
            </w:r>
            <w:r>
              <w:rPr>
                <w:rFonts w:hint="eastAsia" w:ascii="宋体" w:hAnsi="宋体" w:eastAsia="宋体" w:cs="宋体"/>
                <w:sz w:val="21"/>
                <w:szCs w:val="21"/>
                <w:highlight w:val="none"/>
                <w:lang w:val="en-US" w:eastAsia="zh-CN"/>
              </w:rPr>
              <w:t>需提供</w:t>
            </w:r>
            <w:r>
              <w:rPr>
                <w:rFonts w:hint="eastAsia" w:ascii="宋体" w:hAnsi="宋体" w:eastAsia="宋体" w:cs="宋体"/>
                <w:sz w:val="21"/>
                <w:szCs w:val="21"/>
                <w:highlight w:val="none"/>
                <w:lang w:eastAsia="zh-CN"/>
              </w:rPr>
              <w:t>团队人员清单、姓名、电话、职务、职责、相关证书复印件、过往同类项目验收报告或用户证明</w:t>
            </w:r>
            <w:r>
              <w:rPr>
                <w:rFonts w:hint="eastAsia" w:ascii="宋体" w:hAnsi="宋体" w:eastAsia="宋体" w:cs="宋体"/>
                <w:sz w:val="21"/>
                <w:szCs w:val="21"/>
                <w:highlight w:val="none"/>
                <w:lang w:val="en-US" w:eastAsia="zh-CN"/>
              </w:rPr>
              <w:t>；</w:t>
            </w:r>
            <w:r>
              <w:rPr>
                <w:rFonts w:hint="eastAsia" w:ascii="宋体" w:hAnsi="宋体" w:eastAsia="宋体" w:cs="宋体"/>
                <w:sz w:val="21"/>
                <w:szCs w:val="21"/>
                <w:highlight w:val="none"/>
                <w:lang w:val="en-US"/>
              </w:rPr>
              <w:t>②</w:t>
            </w:r>
            <w:r>
              <w:rPr>
                <w:rFonts w:hint="eastAsia" w:ascii="宋体" w:hAnsi="宋体" w:eastAsia="宋体" w:cs="宋体"/>
                <w:sz w:val="21"/>
                <w:szCs w:val="21"/>
                <w:highlight w:val="none"/>
                <w:lang w:val="en-US" w:eastAsia="zh-CN"/>
              </w:rPr>
              <w:t>由供应商在</w:t>
            </w:r>
            <w:r>
              <w:rPr>
                <w:rFonts w:hint="eastAsia" w:ascii="宋体" w:hAnsi="宋体" w:eastAsia="宋体" w:cs="宋体"/>
                <w:sz w:val="21"/>
                <w:szCs w:val="21"/>
                <w:highlight w:val="none"/>
                <w:lang w:eastAsia="zh-CN"/>
              </w:rPr>
              <w:t>截标前连续6个月内任意1个月</w:t>
            </w:r>
            <w:r>
              <w:rPr>
                <w:rFonts w:hint="eastAsia" w:ascii="宋体" w:hAnsi="宋体" w:eastAsia="宋体" w:cs="宋体"/>
                <w:sz w:val="21"/>
                <w:szCs w:val="21"/>
                <w:highlight w:val="none"/>
              </w:rPr>
              <w:t>（不含截标当月）</w:t>
            </w:r>
            <w:r>
              <w:rPr>
                <w:rFonts w:hint="eastAsia" w:ascii="宋体" w:hAnsi="宋体" w:cs="宋体"/>
                <w:sz w:val="21"/>
                <w:szCs w:val="21"/>
                <w:highlight w:val="none"/>
                <w:lang w:val="en-US" w:eastAsia="zh-CN"/>
              </w:rPr>
              <w:t>为其缴纳的</w:t>
            </w:r>
            <w:r>
              <w:rPr>
                <w:rFonts w:hint="eastAsia" w:ascii="宋体" w:hAnsi="宋体" w:eastAsia="宋体" w:cs="宋体"/>
                <w:sz w:val="21"/>
                <w:szCs w:val="21"/>
                <w:highlight w:val="none"/>
                <w:lang w:eastAsia="zh-CN"/>
              </w:rPr>
              <w:t>社保证明</w:t>
            </w:r>
            <w:r>
              <w:rPr>
                <w:rFonts w:hint="eastAsia" w:ascii="宋体" w:hAnsi="宋体" w:eastAsia="宋体" w:cs="宋体"/>
                <w:sz w:val="21"/>
                <w:szCs w:val="21"/>
                <w:highlight w:val="none"/>
                <w:lang w:val="en-US" w:eastAsia="zh-CN"/>
              </w:rPr>
              <w:t>材料复印件</w:t>
            </w:r>
            <w:r>
              <w:rPr>
                <w:rFonts w:hint="eastAsia" w:ascii="宋体" w:hAnsi="宋体" w:eastAsia="宋体" w:cs="宋体"/>
                <w:sz w:val="21"/>
                <w:szCs w:val="21"/>
                <w:highlight w:val="none"/>
                <w:lang w:eastAsia="zh-CN"/>
              </w:rPr>
              <w:t>或劳动合同复印件。</w:t>
            </w:r>
          </w:p>
          <w:p w14:paraId="1BDB853D">
            <w:pPr>
              <w:pStyle w:val="13"/>
              <w:numPr>
                <w:ilvl w:val="-1"/>
                <w:numId w:val="0"/>
              </w:numPr>
              <w:ind w:left="0"/>
              <w:rPr>
                <w:rFonts w:hint="eastAsia"/>
                <w:highlight w:val="none"/>
                <w:lang w:val="en-US" w:eastAsia="zh-CN"/>
              </w:rPr>
            </w:pPr>
            <w:r>
              <w:rPr>
                <w:rFonts w:hint="eastAsia" w:ascii="宋体" w:hAnsi="宋体" w:eastAsia="宋体" w:cs="宋体"/>
                <w:sz w:val="21"/>
                <w:szCs w:val="21"/>
                <w:highlight w:val="none"/>
                <w:lang w:eastAsia="zh-CN"/>
              </w:rPr>
              <w:t>所有</w:t>
            </w:r>
            <w:r>
              <w:rPr>
                <w:rFonts w:hint="eastAsia" w:ascii="宋体" w:hAnsi="宋体" w:eastAsia="宋体" w:cs="宋体"/>
                <w:sz w:val="21"/>
                <w:szCs w:val="21"/>
                <w:highlight w:val="none"/>
                <w:lang w:val="en-US" w:eastAsia="zh-CN"/>
              </w:rPr>
              <w:t>相关</w:t>
            </w:r>
            <w:r>
              <w:rPr>
                <w:rFonts w:hint="eastAsia" w:ascii="宋体" w:hAnsi="宋体" w:eastAsia="宋体" w:cs="宋体"/>
                <w:sz w:val="21"/>
                <w:szCs w:val="21"/>
                <w:highlight w:val="none"/>
                <w:lang w:eastAsia="zh-CN"/>
              </w:rPr>
              <w:t>材料加盖公章，</w:t>
            </w:r>
            <w:r>
              <w:rPr>
                <w:rFonts w:hint="eastAsia" w:ascii="宋体" w:hAnsi="宋体" w:eastAsia="宋体" w:cs="宋体"/>
                <w:sz w:val="21"/>
                <w:szCs w:val="21"/>
                <w:highlight w:val="none"/>
                <w:lang w:val="en-US" w:eastAsia="zh-CN"/>
              </w:rPr>
              <w:t>否则无效。</w:t>
            </w:r>
            <w:r>
              <w:rPr>
                <w:rFonts w:hint="eastAsia" w:ascii="宋体" w:hAnsi="宋体" w:eastAsia="宋体" w:cs="宋体"/>
                <w:sz w:val="21"/>
                <w:szCs w:val="21"/>
                <w:highlight w:val="none"/>
                <w:lang w:eastAsia="zh-CN"/>
              </w:rPr>
              <w:t>拟投入</w:t>
            </w:r>
            <w:r>
              <w:rPr>
                <w:rFonts w:hint="eastAsia" w:ascii="宋体" w:hAnsi="宋体" w:eastAsia="宋体" w:cs="宋体"/>
                <w:sz w:val="21"/>
                <w:szCs w:val="21"/>
                <w:highlight w:val="none"/>
                <w:lang w:val="en-US" w:eastAsia="zh-CN"/>
              </w:rPr>
              <w:t>的项目</w:t>
            </w:r>
            <w:r>
              <w:rPr>
                <w:rFonts w:hint="eastAsia" w:ascii="宋体" w:hAnsi="宋体" w:eastAsia="宋体" w:cs="宋体"/>
                <w:sz w:val="21"/>
                <w:szCs w:val="21"/>
                <w:highlight w:val="none"/>
                <w:lang w:eastAsia="zh-CN"/>
              </w:rPr>
              <w:t>人员</w:t>
            </w:r>
            <w:r>
              <w:rPr>
                <w:rFonts w:hint="eastAsia" w:ascii="宋体" w:hAnsi="宋体" w:eastAsia="宋体" w:cs="宋体"/>
                <w:sz w:val="21"/>
                <w:szCs w:val="21"/>
                <w:highlight w:val="none"/>
                <w:lang w:val="en-US" w:eastAsia="zh-CN"/>
              </w:rPr>
              <w:t>须</w:t>
            </w:r>
            <w:r>
              <w:rPr>
                <w:rFonts w:hint="eastAsia" w:ascii="宋体" w:hAnsi="宋体" w:eastAsia="宋体" w:cs="宋体"/>
                <w:sz w:val="21"/>
                <w:szCs w:val="21"/>
                <w:highlight w:val="none"/>
                <w:lang w:eastAsia="zh-CN"/>
              </w:rPr>
              <w:t>与实际服务人员一致，否则按虚假应标处理。</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6A2C867E">
            <w:pPr>
              <w:pStyle w:val="13"/>
              <w:numPr>
                <w:ilvl w:val="-1"/>
                <w:numId w:val="0"/>
              </w:numPr>
              <w:ind w:left="0"/>
              <w:rPr>
                <w:rFonts w:hint="eastAsia" w:ascii="宋体" w:hAnsi="宋体" w:eastAsia="宋体" w:cs="宋体"/>
                <w:sz w:val="21"/>
                <w:szCs w:val="21"/>
                <w:highlight w:val="none"/>
                <w:lang w:eastAsia="zh-CN"/>
              </w:rPr>
            </w:pPr>
          </w:p>
        </w:tc>
      </w:tr>
      <w:tr w14:paraId="4EF86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60" w:hRule="atLeast"/>
          <w:jc w:val="center"/>
        </w:trPr>
        <w:tc>
          <w:tcPr>
            <w:tcW w:w="552" w:type="dxa"/>
            <w:vMerge w:val="continue"/>
            <w:tcBorders>
              <w:left w:val="single" w:color="auto" w:sz="4" w:space="0"/>
              <w:right w:val="single" w:color="auto" w:sz="4" w:space="0"/>
            </w:tcBorders>
            <w:noWrap w:val="0"/>
            <w:vAlign w:val="center"/>
          </w:tcPr>
          <w:p w14:paraId="39D26A27">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27" w:type="dxa"/>
            <w:vMerge w:val="continue"/>
            <w:tcBorders>
              <w:left w:val="single" w:color="auto" w:sz="4" w:space="0"/>
              <w:right w:val="single" w:color="auto" w:sz="4" w:space="0"/>
            </w:tcBorders>
            <w:noWrap w:val="0"/>
            <w:vAlign w:val="center"/>
          </w:tcPr>
          <w:p w14:paraId="7920CF13">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val="0"/>
                <w:bCs/>
                <w:color w:val="auto"/>
                <w:sz w:val="21"/>
                <w:szCs w:val="21"/>
                <w:highlight w:val="none"/>
                <w:lang w:val="en-US" w:eastAsia="zh-CN"/>
              </w:rPr>
            </w:pPr>
          </w:p>
        </w:tc>
        <w:tc>
          <w:tcPr>
            <w:tcW w:w="823" w:type="dxa"/>
            <w:tcBorders>
              <w:top w:val="single" w:color="auto" w:sz="4" w:space="0"/>
              <w:left w:val="single" w:color="auto" w:sz="4" w:space="0"/>
              <w:right w:val="single" w:color="auto" w:sz="4" w:space="0"/>
            </w:tcBorders>
            <w:noWrap w:val="0"/>
            <w:vAlign w:val="center"/>
          </w:tcPr>
          <w:p w14:paraId="219EBF4D">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sz w:val="21"/>
                <w:szCs w:val="21"/>
                <w:highlight w:val="none"/>
              </w:rPr>
            </w:pPr>
            <w:r>
              <w:rPr>
                <w:rFonts w:hint="eastAsia" w:ascii="宋体" w:hAnsi="宋体" w:eastAsia="宋体" w:cs="宋体"/>
                <w:bCs/>
                <w:sz w:val="21"/>
                <w:szCs w:val="21"/>
                <w:highlight w:val="none"/>
                <w:lang w:val="en-US" w:eastAsia="zh-CN"/>
              </w:rPr>
              <w:t>驻场时长保障（</w:t>
            </w:r>
            <w:r>
              <w:rPr>
                <w:rFonts w:hint="eastAsia" w:hAnsi="宋体" w:eastAsia="宋体" w:cs="宋体"/>
                <w:bCs/>
                <w:sz w:val="21"/>
                <w:szCs w:val="21"/>
                <w:highlight w:val="none"/>
                <w:lang w:val="en-US" w:eastAsia="zh-CN"/>
              </w:rPr>
              <w:t>10</w:t>
            </w:r>
            <w:r>
              <w:rPr>
                <w:rFonts w:hint="eastAsia" w:ascii="宋体" w:hAnsi="宋体" w:eastAsia="宋体" w:cs="宋体"/>
                <w:bCs/>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72674084">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根据供应商承诺的驻场服务时长及保障措施</w:t>
            </w:r>
            <w:r>
              <w:rPr>
                <w:rFonts w:hint="eastAsia" w:ascii="宋体" w:hAnsi="宋体" w:eastAsia="宋体" w:cs="宋体"/>
                <w:kern w:val="2"/>
                <w:sz w:val="21"/>
                <w:szCs w:val="21"/>
                <w:highlight w:val="none"/>
                <w:lang w:val="en-US" w:eastAsia="zh-CN" w:bidi="ar-SA"/>
              </w:rPr>
              <w:t>进行独立评审并按以下规定独立打分</w:t>
            </w:r>
            <w:r>
              <w:rPr>
                <w:rFonts w:hint="eastAsia" w:ascii="宋体" w:hAnsi="宋体" w:eastAsia="宋体" w:cs="宋体"/>
                <w:sz w:val="21"/>
                <w:szCs w:val="21"/>
                <w:highlight w:val="none"/>
                <w:lang w:val="en-US" w:eastAsia="zh-CN"/>
              </w:rPr>
              <w:t>：</w:t>
            </w:r>
          </w:p>
          <w:p w14:paraId="399563FE">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一档（0.1-</w:t>
            </w:r>
            <w:r>
              <w:rPr>
                <w:rFonts w:hint="eastAsia" w:ascii="宋体" w:hAnsi="宋体" w:cs="宋体"/>
                <w:sz w:val="21"/>
                <w:szCs w:val="21"/>
                <w:highlight w:val="none"/>
                <w:lang w:val="en-US" w:eastAsia="zh-CN"/>
              </w:rPr>
              <w:t>3</w:t>
            </w:r>
            <w:r>
              <w:rPr>
                <w:rFonts w:hint="eastAsia" w:ascii="宋体" w:hAnsi="宋体" w:eastAsia="宋体" w:cs="宋体"/>
                <w:sz w:val="21"/>
                <w:szCs w:val="21"/>
                <w:highlight w:val="none"/>
                <w:lang w:val="en-US" w:eastAsia="zh-CN"/>
              </w:rPr>
              <w:t>分）现场服务累计时长不足，未明确固定服务人员及到场保障机制，难以支撑项目现场协作需求；</w:t>
            </w:r>
          </w:p>
          <w:p w14:paraId="74C5256B">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sz w:val="21"/>
                <w:szCs w:val="21"/>
                <w:highlight w:val="none"/>
                <w:lang w:val="en-US" w:eastAsia="zh-CN"/>
              </w:rPr>
            </w:pPr>
            <w:r>
              <w:rPr>
                <w:rFonts w:hint="eastAsia" w:ascii="宋体" w:hAnsi="宋体" w:eastAsia="宋体" w:cs="宋体"/>
                <w:sz w:val="21"/>
                <w:szCs w:val="21"/>
                <w:highlight w:val="none"/>
                <w:lang w:val="en-US" w:eastAsia="zh-CN"/>
              </w:rPr>
              <w:t>二档（</w:t>
            </w:r>
            <w:r>
              <w:rPr>
                <w:rFonts w:hint="eastAsia" w:ascii="宋体" w:hAnsi="宋体" w:cs="宋体"/>
                <w:sz w:val="21"/>
                <w:szCs w:val="21"/>
                <w:highlight w:val="none"/>
                <w:lang w:val="en-US" w:eastAsia="zh-CN"/>
              </w:rPr>
              <w:t>3.1</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lang w:val="en-US" w:eastAsia="zh-CN"/>
              </w:rPr>
              <w:t>6</w:t>
            </w:r>
            <w:r>
              <w:rPr>
                <w:rFonts w:hint="eastAsia" w:ascii="宋体" w:hAnsi="宋体" w:eastAsia="宋体" w:cs="宋体"/>
                <w:sz w:val="21"/>
                <w:szCs w:val="21"/>
                <w:highlight w:val="none"/>
                <w:lang w:val="en-US" w:eastAsia="zh-CN"/>
              </w:rPr>
              <w:t>分）现场服务累计时长合理，明确专属服务人员，具备基础考勤及到场管控措施，能满足常规现场协作需求；</w:t>
            </w:r>
          </w:p>
          <w:p w14:paraId="6D6822BE">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Theme="minorEastAsia" w:hAnsiTheme="minorEastAsia" w:eastAsiaTheme="minorEastAsia" w:cstheme="minorEastAsia"/>
                <w:bCs/>
                <w:sz w:val="21"/>
                <w:szCs w:val="21"/>
                <w:highlight w:val="none"/>
              </w:rPr>
            </w:pPr>
            <w:r>
              <w:rPr>
                <w:rFonts w:hint="eastAsia" w:ascii="宋体" w:hAnsi="宋体" w:eastAsia="宋体" w:cs="宋体"/>
                <w:sz w:val="21"/>
                <w:szCs w:val="21"/>
                <w:highlight w:val="none"/>
                <w:lang w:val="en-US" w:eastAsia="zh-CN"/>
              </w:rPr>
              <w:t>三档（</w:t>
            </w:r>
            <w:r>
              <w:rPr>
                <w:rFonts w:hint="eastAsia" w:ascii="宋体" w:hAnsi="宋体" w:cs="宋体"/>
                <w:sz w:val="21"/>
                <w:szCs w:val="21"/>
                <w:highlight w:val="none"/>
                <w:lang w:val="en-US" w:eastAsia="zh-CN"/>
              </w:rPr>
              <w:t>6.1</w:t>
            </w:r>
            <w:r>
              <w:rPr>
                <w:rFonts w:hint="eastAsia" w:ascii="宋体" w:hAnsi="宋体" w:eastAsia="宋体" w:cs="宋体"/>
                <w:sz w:val="21"/>
                <w:szCs w:val="21"/>
                <w:highlight w:val="none"/>
                <w:lang w:val="en-US" w:eastAsia="zh-CN"/>
              </w:rPr>
              <w:t>-</w:t>
            </w:r>
            <w:r>
              <w:rPr>
                <w:rFonts w:hint="eastAsia" w:ascii="宋体" w:hAnsi="宋体" w:cs="宋体"/>
                <w:sz w:val="21"/>
                <w:szCs w:val="21"/>
                <w:highlight w:val="none"/>
                <w:lang w:val="en-US" w:eastAsia="zh-CN"/>
              </w:rPr>
              <w:t>10</w:t>
            </w:r>
            <w:r>
              <w:rPr>
                <w:rFonts w:hint="eastAsia" w:ascii="宋体" w:hAnsi="宋体" w:eastAsia="宋体" w:cs="宋体"/>
                <w:sz w:val="21"/>
                <w:szCs w:val="21"/>
                <w:highlight w:val="none"/>
                <w:lang w:val="en-US" w:eastAsia="zh-CN"/>
              </w:rPr>
              <w:t>分）现场服务累计时长充足，专属服务人员与项目核心团队保持一致，制定详细的现场工作计划、规范的考勤管理及应急补位方案，可确保现场服务的连续性与响应及时性。</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448E729">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sz w:val="21"/>
                <w:szCs w:val="21"/>
                <w:highlight w:val="none"/>
                <w:lang w:val="en-US" w:eastAsia="zh-CN"/>
              </w:rPr>
            </w:pPr>
          </w:p>
        </w:tc>
      </w:tr>
      <w:tr w14:paraId="7868A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552" w:type="dxa"/>
            <w:vMerge w:val="continue"/>
            <w:tcBorders>
              <w:left w:val="single" w:color="auto" w:sz="4" w:space="0"/>
              <w:right w:val="single" w:color="auto" w:sz="4" w:space="0"/>
            </w:tcBorders>
            <w:noWrap w:val="0"/>
            <w:vAlign w:val="center"/>
          </w:tcPr>
          <w:p w14:paraId="7954D053">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27" w:type="dxa"/>
            <w:vMerge w:val="continue"/>
            <w:tcBorders>
              <w:left w:val="single" w:color="auto" w:sz="4" w:space="0"/>
              <w:right w:val="single" w:color="auto" w:sz="4" w:space="0"/>
            </w:tcBorders>
            <w:noWrap w:val="0"/>
            <w:vAlign w:val="center"/>
          </w:tcPr>
          <w:p w14:paraId="44E71BFD">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val="0"/>
                <w:color w:val="FF0000"/>
                <w:sz w:val="21"/>
                <w:szCs w:val="21"/>
                <w:highlight w:val="none"/>
                <w:lang w:val="en-US" w:eastAsia="zh-CN"/>
              </w:rPr>
            </w:pPr>
          </w:p>
        </w:tc>
        <w:tc>
          <w:tcPr>
            <w:tcW w:w="823" w:type="dxa"/>
            <w:tcBorders>
              <w:left w:val="single" w:color="auto" w:sz="4" w:space="0"/>
              <w:bottom w:val="single" w:color="auto" w:sz="4" w:space="0"/>
              <w:right w:val="single" w:color="auto" w:sz="4" w:space="0"/>
            </w:tcBorders>
            <w:noWrap w:val="0"/>
            <w:vAlign w:val="center"/>
          </w:tcPr>
          <w:p w14:paraId="72306D97">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服务方案</w:t>
            </w:r>
          </w:p>
          <w:p w14:paraId="56B471BB">
            <w:pPr>
              <w:pStyle w:val="25"/>
              <w:keepNext w:val="0"/>
              <w:keepLines w:val="0"/>
              <w:pageBreakBefore w:val="0"/>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sz w:val="21"/>
                <w:szCs w:val="21"/>
                <w:highlight w:val="none"/>
                <w:lang w:val="en-US" w:eastAsia="zh-CN"/>
              </w:rPr>
            </w:pPr>
            <w:r>
              <w:rPr>
                <w:rFonts w:hint="eastAsia" w:ascii="宋体" w:hAnsi="宋体" w:eastAsia="宋体" w:cs="宋体"/>
                <w:bCs/>
                <w:color w:val="auto"/>
                <w:sz w:val="21"/>
                <w:szCs w:val="21"/>
                <w:highlight w:val="none"/>
                <w:lang w:val="en-US" w:eastAsia="zh-CN"/>
              </w:rPr>
              <w:t>（</w:t>
            </w:r>
            <w:r>
              <w:rPr>
                <w:rFonts w:hint="eastAsia" w:hAnsi="宋体" w:eastAsia="宋体" w:cs="宋体"/>
                <w:bCs/>
                <w:color w:val="auto"/>
                <w:sz w:val="21"/>
                <w:szCs w:val="21"/>
                <w:highlight w:val="none"/>
                <w:lang w:val="en-US" w:eastAsia="zh-CN"/>
              </w:rPr>
              <w:t>25</w:t>
            </w:r>
            <w:r>
              <w:rPr>
                <w:rFonts w:hint="eastAsia" w:ascii="宋体" w:hAnsi="宋体" w:eastAsia="宋体" w:cs="宋体"/>
                <w:bCs/>
                <w:color w:val="auto"/>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436E6487">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根据供应商针对本项目提供的整体服务方案（含服务管理、质量管理、项目管理等）</w:t>
            </w:r>
            <w:r>
              <w:rPr>
                <w:rFonts w:hint="eastAsia" w:ascii="宋体" w:hAnsi="宋体" w:eastAsia="宋体" w:cs="宋体"/>
                <w:kern w:val="2"/>
                <w:sz w:val="21"/>
                <w:szCs w:val="21"/>
                <w:highlight w:val="none"/>
                <w:lang w:val="en-US" w:eastAsia="zh-CN" w:bidi="ar-SA"/>
              </w:rPr>
              <w:t>进行独立评审并按以下规定独立打分</w:t>
            </w:r>
            <w:r>
              <w:rPr>
                <w:rFonts w:hint="eastAsia" w:ascii="宋体" w:hAnsi="宋体" w:eastAsia="宋体" w:cs="宋体"/>
                <w:bCs/>
                <w:color w:val="auto"/>
                <w:sz w:val="21"/>
                <w:szCs w:val="21"/>
                <w:highlight w:val="none"/>
                <w:lang w:val="en-US" w:eastAsia="zh-CN"/>
              </w:rPr>
              <w:t>：</w:t>
            </w:r>
          </w:p>
          <w:p w14:paraId="32141E7F">
            <w:pPr>
              <w:keepNext w:val="0"/>
              <w:keepLines w:val="0"/>
              <w:pageBreakBefore w:val="0"/>
              <w:widowControl/>
              <w:wordWrap/>
              <w:topLinePunct w:val="0"/>
              <w:autoSpaceDE/>
              <w:autoSpaceDN/>
              <w:bidi w:val="0"/>
              <w:adjustRightInd w:val="0"/>
              <w:snapToGrid w:val="0"/>
              <w:spacing w:line="380" w:lineRule="exact"/>
              <w:jc w:val="left"/>
              <w:textAlignment w:val="auto"/>
              <w:rPr>
                <w:rFonts w:hint="default"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一档（0.1-</w:t>
            </w:r>
            <w:r>
              <w:rPr>
                <w:rFonts w:hint="eastAsia" w:ascii="宋体" w:hAnsi="宋体" w:cs="宋体"/>
                <w:bCs/>
                <w:color w:val="auto"/>
                <w:sz w:val="21"/>
                <w:szCs w:val="21"/>
                <w:highlight w:val="none"/>
                <w:lang w:val="en-US" w:eastAsia="zh-CN"/>
              </w:rPr>
              <w:t>8</w:t>
            </w:r>
            <w:r>
              <w:rPr>
                <w:rFonts w:hint="eastAsia" w:ascii="宋体" w:hAnsi="宋体" w:eastAsia="宋体" w:cs="宋体"/>
                <w:bCs/>
                <w:color w:val="auto"/>
                <w:sz w:val="21"/>
                <w:szCs w:val="21"/>
                <w:highlight w:val="none"/>
                <w:lang w:val="en-US" w:eastAsia="zh-CN"/>
              </w:rPr>
              <w:t>分）方案仅含纲要，内容简略，未结合洗钱风险自评估项目特点，针对性不足；未提供专项培训方案，或仅提及常规培训，无针对性和可操作性</w:t>
            </w:r>
            <w:r>
              <w:rPr>
                <w:rFonts w:hint="eastAsia" w:ascii="宋体" w:hAnsi="宋体" w:cs="宋体"/>
                <w:bCs/>
                <w:color w:val="auto"/>
                <w:sz w:val="21"/>
                <w:szCs w:val="21"/>
                <w:highlight w:val="none"/>
                <w:lang w:val="en-US" w:eastAsia="zh-CN"/>
              </w:rPr>
              <w:t>。</w:t>
            </w:r>
          </w:p>
          <w:p w14:paraId="33013790">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二档（</w:t>
            </w:r>
            <w:r>
              <w:rPr>
                <w:rFonts w:hint="eastAsia" w:ascii="宋体" w:hAnsi="宋体" w:cs="宋体"/>
                <w:bCs/>
                <w:color w:val="auto"/>
                <w:sz w:val="21"/>
                <w:szCs w:val="21"/>
                <w:highlight w:val="none"/>
                <w:lang w:val="en-US" w:eastAsia="zh-CN"/>
              </w:rPr>
              <w:t>8.1</w:t>
            </w: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16</w:t>
            </w:r>
            <w:r>
              <w:rPr>
                <w:rFonts w:hint="eastAsia" w:ascii="宋体" w:hAnsi="宋体" w:eastAsia="宋体" w:cs="宋体"/>
                <w:bCs/>
                <w:color w:val="auto"/>
                <w:sz w:val="21"/>
                <w:szCs w:val="21"/>
                <w:highlight w:val="none"/>
                <w:lang w:val="en-US" w:eastAsia="zh-CN"/>
              </w:rPr>
              <w:t>分）方案内容满足项目基本要求，涵盖核心服务环节，质量管理和项目管理机制基本健全；提供培训方案，包含反洗钱自评估相关基础知识点，有初步的培训计划和考核方式，基本满足项目需求</w:t>
            </w:r>
            <w:r>
              <w:rPr>
                <w:rFonts w:hint="eastAsia" w:ascii="宋体" w:hAnsi="宋体" w:cs="宋体"/>
                <w:bCs/>
                <w:color w:val="auto"/>
                <w:sz w:val="21"/>
                <w:szCs w:val="21"/>
                <w:highlight w:val="none"/>
                <w:lang w:val="en-US" w:eastAsia="zh-CN"/>
              </w:rPr>
              <w:t>。</w:t>
            </w:r>
          </w:p>
          <w:p w14:paraId="1910A558">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Theme="minorEastAsia" w:hAnsiTheme="minorEastAsia" w:eastAsiaTheme="minorEastAsia" w:cstheme="minorEastAsia"/>
                <w:sz w:val="21"/>
                <w:szCs w:val="21"/>
                <w:highlight w:val="none"/>
                <w:lang w:val="en-US" w:eastAsia="zh-CN"/>
              </w:rPr>
            </w:pPr>
            <w:r>
              <w:rPr>
                <w:rFonts w:hint="eastAsia" w:ascii="宋体" w:hAnsi="宋体" w:eastAsia="宋体" w:cs="宋体"/>
                <w:bCs/>
                <w:color w:val="auto"/>
                <w:sz w:val="21"/>
                <w:szCs w:val="21"/>
                <w:highlight w:val="none"/>
                <w:lang w:val="en-US" w:eastAsia="zh-CN"/>
              </w:rPr>
              <w:t>三档（</w:t>
            </w:r>
            <w:r>
              <w:rPr>
                <w:rFonts w:hint="eastAsia" w:ascii="宋体" w:hAnsi="宋体" w:cs="宋体"/>
                <w:bCs/>
                <w:color w:val="auto"/>
                <w:sz w:val="21"/>
                <w:szCs w:val="21"/>
                <w:highlight w:val="none"/>
                <w:lang w:val="en-US" w:eastAsia="zh-CN"/>
              </w:rPr>
              <w:t>16.1</w:t>
            </w:r>
            <w:r>
              <w:rPr>
                <w:rFonts w:hint="eastAsia" w:ascii="宋体" w:hAnsi="宋体" w:eastAsia="宋体" w:cs="宋体"/>
                <w:bCs/>
                <w:color w:val="auto"/>
                <w:sz w:val="21"/>
                <w:szCs w:val="21"/>
                <w:highlight w:val="none"/>
                <w:lang w:val="en-US" w:eastAsia="zh-CN"/>
              </w:rPr>
              <w:t>-</w:t>
            </w:r>
            <w:r>
              <w:rPr>
                <w:rFonts w:hint="eastAsia" w:ascii="宋体" w:hAnsi="宋体" w:cs="宋体"/>
                <w:bCs/>
                <w:color w:val="auto"/>
                <w:sz w:val="21"/>
                <w:szCs w:val="21"/>
                <w:highlight w:val="none"/>
                <w:lang w:val="en-US" w:eastAsia="zh-CN"/>
              </w:rPr>
              <w:t>25</w:t>
            </w:r>
            <w:r>
              <w:rPr>
                <w:rFonts w:hint="eastAsia" w:ascii="宋体" w:hAnsi="宋体" w:eastAsia="宋体" w:cs="宋体"/>
                <w:bCs/>
                <w:color w:val="auto"/>
                <w:sz w:val="21"/>
                <w:szCs w:val="21"/>
                <w:highlight w:val="none"/>
                <w:lang w:val="en-US" w:eastAsia="zh-CN"/>
              </w:rPr>
              <w:t>分）：方案内容完整详细，紧密结合银行洗钱风险自评估业务特点，服务管理、质量管理、项目管理流程规范，措施具体可行，能根据银行实际情况灵活调整服务计划</w:t>
            </w:r>
            <w:r>
              <w:rPr>
                <w:rFonts w:hint="eastAsia" w:ascii="宋体" w:hAnsi="宋体" w:cs="宋体"/>
                <w:bCs/>
                <w:color w:val="auto"/>
                <w:sz w:val="21"/>
                <w:szCs w:val="21"/>
                <w:highlight w:val="none"/>
                <w:lang w:val="en-US" w:eastAsia="zh-CN"/>
              </w:rPr>
              <w:t>；</w:t>
            </w:r>
            <w:r>
              <w:rPr>
                <w:rFonts w:hint="eastAsia" w:ascii="宋体" w:hAnsi="宋体" w:eastAsia="宋体" w:cs="宋体"/>
                <w:bCs/>
                <w:color w:val="auto"/>
                <w:sz w:val="21"/>
                <w:szCs w:val="21"/>
                <w:highlight w:val="none"/>
                <w:lang w:val="en-US" w:eastAsia="zh-CN"/>
              </w:rPr>
              <w:t>培训方案完整详细，针对银行实际业务场景</w:t>
            </w:r>
            <w:r>
              <w:rPr>
                <w:rFonts w:hint="eastAsia" w:ascii="宋体" w:hAnsi="宋体" w:cs="宋体"/>
                <w:bCs/>
                <w:color w:val="auto"/>
                <w:sz w:val="21"/>
                <w:szCs w:val="21"/>
                <w:highlight w:val="none"/>
                <w:lang w:val="en-US" w:eastAsia="zh-CN"/>
              </w:rPr>
              <w:t>、不同层级人员</w:t>
            </w:r>
            <w:r>
              <w:rPr>
                <w:rFonts w:hint="eastAsia" w:ascii="宋体" w:hAnsi="宋体" w:eastAsia="宋体" w:cs="宋体"/>
                <w:bCs/>
                <w:color w:val="auto"/>
                <w:sz w:val="21"/>
                <w:szCs w:val="21"/>
                <w:highlight w:val="none"/>
                <w:lang w:val="en-US" w:eastAsia="zh-CN"/>
              </w:rPr>
              <w:t>设计培训内容（涵盖自评估方法、风险识别技巧、监管要求解读等）</w:t>
            </w:r>
            <w:r>
              <w:rPr>
                <w:rFonts w:hint="eastAsia" w:ascii="宋体" w:hAnsi="宋体" w:cs="宋体"/>
                <w:bCs/>
                <w:color w:val="auto"/>
                <w:sz w:val="21"/>
                <w:szCs w:val="21"/>
                <w:highlight w:val="none"/>
                <w:lang w:val="en-US" w:eastAsia="zh-CN"/>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0A67B325">
            <w:pPr>
              <w:keepNext w:val="0"/>
              <w:keepLines w:val="0"/>
              <w:pageBreakBefore w:val="0"/>
              <w:widowControl/>
              <w:wordWrap/>
              <w:topLinePunct w:val="0"/>
              <w:autoSpaceDE/>
              <w:autoSpaceDN/>
              <w:bidi w:val="0"/>
              <w:adjustRightInd w:val="0"/>
              <w:snapToGrid w:val="0"/>
              <w:spacing w:line="380" w:lineRule="exact"/>
              <w:jc w:val="left"/>
              <w:textAlignment w:val="auto"/>
              <w:rPr>
                <w:rFonts w:hint="eastAsia" w:ascii="宋体" w:hAnsi="宋体" w:eastAsia="宋体" w:cs="宋体"/>
                <w:bCs/>
                <w:color w:val="auto"/>
                <w:sz w:val="21"/>
                <w:szCs w:val="21"/>
                <w:highlight w:val="none"/>
                <w:lang w:val="en-US" w:eastAsia="zh-CN"/>
              </w:rPr>
            </w:pPr>
          </w:p>
        </w:tc>
      </w:tr>
      <w:tr w14:paraId="0B3B9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87" w:hRule="atLeast"/>
          <w:jc w:val="center"/>
        </w:trPr>
        <w:tc>
          <w:tcPr>
            <w:tcW w:w="552" w:type="dxa"/>
            <w:vMerge w:val="continue"/>
            <w:tcBorders>
              <w:left w:val="single" w:color="auto" w:sz="4" w:space="0"/>
              <w:right w:val="single" w:color="auto" w:sz="4" w:space="0"/>
            </w:tcBorders>
            <w:noWrap w:val="0"/>
            <w:vAlign w:val="center"/>
          </w:tcPr>
          <w:p w14:paraId="2185C310">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Cs/>
                <w:sz w:val="21"/>
                <w:szCs w:val="21"/>
                <w:highlight w:val="none"/>
                <w:lang w:val="en-US" w:eastAsia="zh-CN"/>
              </w:rPr>
            </w:pPr>
          </w:p>
        </w:tc>
        <w:tc>
          <w:tcPr>
            <w:tcW w:w="827" w:type="dxa"/>
            <w:vMerge w:val="continue"/>
            <w:tcBorders>
              <w:left w:val="single" w:color="auto" w:sz="4" w:space="0"/>
              <w:right w:val="single" w:color="auto" w:sz="4" w:space="0"/>
            </w:tcBorders>
            <w:noWrap w:val="0"/>
            <w:vAlign w:val="center"/>
          </w:tcPr>
          <w:p w14:paraId="53C5DA30">
            <w:pPr>
              <w:pStyle w:val="25"/>
              <w:keepNext w:val="0"/>
              <w:keepLines w:val="0"/>
              <w:pageBreakBefore w:val="0"/>
              <w:kinsoku/>
              <w:wordWrap/>
              <w:overflowPunct/>
              <w:topLinePunct w:val="0"/>
              <w:autoSpaceDE/>
              <w:autoSpaceDN/>
              <w:bidi w:val="0"/>
              <w:adjustRightInd/>
              <w:snapToGrid/>
              <w:spacing w:line="400" w:lineRule="exact"/>
              <w:jc w:val="center"/>
              <w:textAlignment w:val="auto"/>
              <w:rPr>
                <w:rFonts w:hint="eastAsia" w:asciiTheme="minorEastAsia" w:hAnsiTheme="minorEastAsia" w:eastAsiaTheme="minorEastAsia" w:cstheme="minorEastAsia"/>
                <w:b/>
                <w:bCs w:val="0"/>
                <w:color w:val="FF0000"/>
                <w:sz w:val="21"/>
                <w:szCs w:val="21"/>
                <w:highlight w:val="none"/>
                <w:lang w:val="en-US" w:eastAsia="zh-CN"/>
              </w:rPr>
            </w:pPr>
          </w:p>
        </w:tc>
        <w:tc>
          <w:tcPr>
            <w:tcW w:w="823" w:type="dxa"/>
            <w:tcBorders>
              <w:left w:val="single" w:color="auto" w:sz="4" w:space="0"/>
              <w:bottom w:val="single" w:color="auto" w:sz="4" w:space="0"/>
              <w:right w:val="single" w:color="auto" w:sz="4" w:space="0"/>
            </w:tcBorders>
            <w:noWrap w:val="0"/>
            <w:vAlign w:val="center"/>
          </w:tcPr>
          <w:p w14:paraId="2B648391">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售后服务</w:t>
            </w:r>
          </w:p>
          <w:p w14:paraId="2A5CDE49">
            <w:pPr>
              <w:keepNext w:val="0"/>
              <w:keepLines w:val="0"/>
              <w:pageBreakBefore w:val="0"/>
              <w:widowControl/>
              <w:kinsoku/>
              <w:wordWrap/>
              <w:overflowPunct/>
              <w:topLinePunct w:val="0"/>
              <w:autoSpaceDE/>
              <w:autoSpaceDN/>
              <w:bidi w:val="0"/>
              <w:adjustRightInd/>
              <w:snapToGrid/>
              <w:spacing w:line="380" w:lineRule="exact"/>
              <w:jc w:val="center"/>
              <w:textAlignment w:val="auto"/>
              <w:rPr>
                <w:rFonts w:hint="eastAsia" w:asciiTheme="minorEastAsia" w:hAnsiTheme="minorEastAsia" w:eastAsiaTheme="minorEastAsia" w:cstheme="minorEastAsia"/>
                <w:bCs/>
                <w:sz w:val="21"/>
                <w:szCs w:val="21"/>
                <w:highlight w:val="none"/>
              </w:rPr>
            </w:pPr>
            <w:r>
              <w:rPr>
                <w:rFonts w:hint="eastAsia" w:ascii="宋体" w:hAnsi="宋体" w:eastAsia="宋体" w:cs="宋体"/>
                <w:bCs/>
                <w:sz w:val="21"/>
                <w:szCs w:val="21"/>
                <w:highlight w:val="none"/>
                <w:lang w:val="en-US" w:eastAsia="zh-CN"/>
              </w:rPr>
              <w:t>（</w:t>
            </w:r>
            <w:r>
              <w:rPr>
                <w:rFonts w:hint="eastAsia" w:ascii="宋体" w:hAnsi="宋体" w:cs="宋体"/>
                <w:bCs/>
                <w:sz w:val="21"/>
                <w:szCs w:val="21"/>
                <w:highlight w:val="none"/>
                <w:lang w:val="en-US" w:eastAsia="zh-CN"/>
              </w:rPr>
              <w:t xml:space="preserve">10                                   </w:t>
            </w:r>
            <w:r>
              <w:rPr>
                <w:rFonts w:hint="eastAsia" w:ascii="宋体" w:hAnsi="宋体" w:eastAsia="宋体" w:cs="宋体"/>
                <w:bCs/>
                <w:sz w:val="21"/>
                <w:szCs w:val="21"/>
                <w:highlight w:val="none"/>
                <w:lang w:val="en-US" w:eastAsia="zh-CN"/>
              </w:rPr>
              <w:t>分）</w:t>
            </w:r>
          </w:p>
        </w:tc>
        <w:tc>
          <w:tcPr>
            <w:tcW w:w="7027" w:type="dxa"/>
            <w:tcBorders>
              <w:top w:val="single" w:color="auto" w:sz="4" w:space="0"/>
              <w:left w:val="single" w:color="auto" w:sz="4" w:space="0"/>
              <w:bottom w:val="single" w:color="auto" w:sz="4" w:space="0"/>
              <w:right w:val="single" w:color="auto" w:sz="4" w:space="0"/>
            </w:tcBorders>
            <w:noWrap w:val="0"/>
            <w:vAlign w:val="center"/>
          </w:tcPr>
          <w:p w14:paraId="45A8A863">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根据供应商提供的售后服务方案</w:t>
            </w:r>
            <w:r>
              <w:rPr>
                <w:rFonts w:hint="eastAsia" w:ascii="宋体" w:hAnsi="宋体" w:eastAsia="宋体" w:cs="宋体"/>
                <w:kern w:val="2"/>
                <w:sz w:val="21"/>
                <w:szCs w:val="21"/>
                <w:highlight w:val="none"/>
                <w:lang w:val="en-US" w:eastAsia="zh-CN" w:bidi="ar-SA"/>
              </w:rPr>
              <w:t>进行独立评审并按以下规定独立打分</w:t>
            </w:r>
            <w:r>
              <w:rPr>
                <w:rFonts w:hint="eastAsia" w:ascii="宋体" w:hAnsi="宋体" w:eastAsia="宋体" w:cs="宋体"/>
                <w:bCs/>
                <w:sz w:val="21"/>
                <w:szCs w:val="21"/>
                <w:highlight w:val="none"/>
                <w:lang w:val="en-US" w:eastAsia="zh-CN"/>
              </w:rPr>
              <w:t>：</w:t>
            </w:r>
          </w:p>
          <w:p w14:paraId="2E3A9F75">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一档（0.1-</w:t>
            </w:r>
            <w:r>
              <w:rPr>
                <w:rFonts w:hint="eastAsia" w:hAnsi="宋体" w:eastAsia="宋体" w:cs="宋体"/>
                <w:bCs/>
                <w:sz w:val="21"/>
                <w:szCs w:val="21"/>
                <w:highlight w:val="none"/>
                <w:lang w:val="en-US" w:eastAsia="zh-CN"/>
              </w:rPr>
              <w:t>3</w:t>
            </w:r>
            <w:r>
              <w:rPr>
                <w:rFonts w:hint="eastAsia" w:ascii="宋体" w:hAnsi="宋体" w:eastAsia="宋体" w:cs="宋体"/>
                <w:bCs/>
                <w:sz w:val="21"/>
                <w:szCs w:val="21"/>
                <w:highlight w:val="none"/>
                <w:lang w:val="en-US" w:eastAsia="zh-CN"/>
              </w:rPr>
              <w:t>分）售后服务方案不完善，无明确的</w:t>
            </w:r>
            <w:r>
              <w:rPr>
                <w:rFonts w:hint="eastAsia" w:hAnsi="宋体" w:eastAsia="宋体" w:cs="宋体"/>
                <w:bCs/>
                <w:sz w:val="21"/>
                <w:szCs w:val="21"/>
                <w:highlight w:val="none"/>
                <w:lang w:val="en-US" w:eastAsia="zh-CN"/>
              </w:rPr>
              <w:t>售后服务方案</w:t>
            </w:r>
            <w:r>
              <w:rPr>
                <w:rFonts w:hint="eastAsia" w:ascii="宋体" w:hAnsi="宋体" w:eastAsia="宋体" w:cs="宋体"/>
                <w:bCs/>
                <w:sz w:val="21"/>
                <w:szCs w:val="21"/>
                <w:highlight w:val="none"/>
                <w:lang w:val="en-US" w:eastAsia="zh-CN"/>
              </w:rPr>
              <w:t>；</w:t>
            </w:r>
          </w:p>
          <w:p w14:paraId="3C87FA90">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sz w:val="21"/>
                <w:szCs w:val="21"/>
                <w:highlight w:val="none"/>
                <w:lang w:val="en-US" w:eastAsia="zh-CN"/>
              </w:rPr>
            </w:pPr>
            <w:r>
              <w:rPr>
                <w:rFonts w:hint="eastAsia" w:ascii="宋体" w:hAnsi="宋体" w:eastAsia="宋体" w:cs="宋体"/>
                <w:bCs/>
                <w:sz w:val="21"/>
                <w:szCs w:val="21"/>
                <w:highlight w:val="none"/>
                <w:lang w:val="en-US" w:eastAsia="zh-CN"/>
              </w:rPr>
              <w:t>二档（</w:t>
            </w:r>
            <w:r>
              <w:rPr>
                <w:rFonts w:hint="eastAsia" w:hAnsi="宋体" w:eastAsia="宋体" w:cs="宋体"/>
                <w:bCs/>
                <w:sz w:val="21"/>
                <w:szCs w:val="21"/>
                <w:highlight w:val="none"/>
                <w:lang w:val="en-US" w:eastAsia="zh-CN"/>
              </w:rPr>
              <w:t>3.1</w:t>
            </w: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6</w:t>
            </w:r>
            <w:r>
              <w:rPr>
                <w:rFonts w:hint="eastAsia" w:ascii="宋体" w:hAnsi="宋体" w:eastAsia="宋体" w:cs="宋体"/>
                <w:bCs/>
                <w:sz w:val="21"/>
                <w:szCs w:val="21"/>
                <w:highlight w:val="none"/>
                <w:lang w:val="en-US" w:eastAsia="zh-CN"/>
              </w:rPr>
              <w:t>分）</w:t>
            </w:r>
            <w:r>
              <w:rPr>
                <w:rFonts w:hint="eastAsia" w:hAnsi="宋体" w:eastAsia="宋体" w:cs="宋体"/>
                <w:bCs/>
                <w:sz w:val="21"/>
                <w:szCs w:val="21"/>
                <w:highlight w:val="none"/>
                <w:lang w:val="en-US" w:eastAsia="zh-CN"/>
              </w:rPr>
              <w:t>有明确的</w:t>
            </w:r>
            <w:r>
              <w:rPr>
                <w:rFonts w:hint="eastAsia" w:ascii="宋体" w:hAnsi="宋体" w:eastAsia="宋体" w:cs="宋体"/>
                <w:bCs/>
                <w:sz w:val="21"/>
                <w:szCs w:val="21"/>
                <w:highlight w:val="none"/>
                <w:lang w:val="en-US" w:eastAsia="zh-CN"/>
              </w:rPr>
              <w:t>售后服务方案</w:t>
            </w:r>
            <w:r>
              <w:rPr>
                <w:rFonts w:hint="eastAsia" w:hAnsi="宋体" w:eastAsia="宋体" w:cs="宋体"/>
                <w:bCs/>
                <w:sz w:val="21"/>
                <w:szCs w:val="21"/>
                <w:highlight w:val="none"/>
                <w:lang w:val="en-US" w:eastAsia="zh-CN"/>
              </w:rPr>
              <w:t>和</w:t>
            </w:r>
            <w:r>
              <w:rPr>
                <w:rFonts w:hint="eastAsia" w:ascii="宋体" w:hAnsi="宋体" w:eastAsia="宋体" w:cs="宋体"/>
                <w:bCs/>
                <w:sz w:val="21"/>
                <w:szCs w:val="21"/>
                <w:highlight w:val="none"/>
                <w:lang w:val="en-US" w:eastAsia="zh-CN"/>
              </w:rPr>
              <w:t>咨询</w:t>
            </w:r>
            <w:r>
              <w:rPr>
                <w:rFonts w:hint="eastAsia" w:hAnsi="宋体" w:eastAsia="宋体" w:cs="宋体"/>
                <w:bCs/>
                <w:sz w:val="21"/>
                <w:szCs w:val="21"/>
                <w:highlight w:val="none"/>
                <w:lang w:val="en-US" w:eastAsia="zh-CN"/>
              </w:rPr>
              <w:t>沟通应答机制，基本满足项目需求</w:t>
            </w:r>
            <w:r>
              <w:rPr>
                <w:rFonts w:hint="eastAsia" w:ascii="宋体" w:hAnsi="宋体" w:eastAsia="宋体" w:cs="宋体"/>
                <w:bCs/>
                <w:sz w:val="21"/>
                <w:szCs w:val="21"/>
                <w:highlight w:val="none"/>
                <w:lang w:val="en-US" w:eastAsia="zh-CN"/>
              </w:rPr>
              <w:t>；</w:t>
            </w:r>
          </w:p>
          <w:p w14:paraId="4C341593">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Theme="minorEastAsia" w:hAnsiTheme="minorEastAsia" w:eastAsiaTheme="minorEastAsia" w:cstheme="minorEastAsia"/>
                <w:bCs/>
                <w:sz w:val="21"/>
                <w:szCs w:val="21"/>
                <w:highlight w:val="none"/>
              </w:rPr>
            </w:pPr>
            <w:r>
              <w:rPr>
                <w:rFonts w:hint="eastAsia" w:ascii="宋体" w:hAnsi="宋体" w:eastAsia="宋体" w:cs="宋体"/>
                <w:bCs/>
                <w:sz w:val="21"/>
                <w:szCs w:val="21"/>
                <w:highlight w:val="none"/>
                <w:lang w:val="en-US" w:eastAsia="zh-CN"/>
              </w:rPr>
              <w:t>三档（</w:t>
            </w:r>
            <w:r>
              <w:rPr>
                <w:rFonts w:hint="eastAsia" w:hAnsi="宋体" w:eastAsia="宋体" w:cs="宋体"/>
                <w:bCs/>
                <w:sz w:val="21"/>
                <w:szCs w:val="21"/>
                <w:highlight w:val="none"/>
                <w:lang w:val="en-US" w:eastAsia="zh-CN"/>
              </w:rPr>
              <w:t>6.1</w:t>
            </w:r>
            <w:r>
              <w:rPr>
                <w:rFonts w:hint="eastAsia" w:ascii="宋体" w:hAnsi="宋体" w:eastAsia="宋体" w:cs="宋体"/>
                <w:bCs/>
                <w:sz w:val="21"/>
                <w:szCs w:val="21"/>
                <w:highlight w:val="none"/>
                <w:lang w:val="en-US" w:eastAsia="zh-CN"/>
              </w:rPr>
              <w:t>-</w:t>
            </w:r>
            <w:r>
              <w:rPr>
                <w:rFonts w:hint="eastAsia" w:hAnsi="宋体" w:eastAsia="宋体" w:cs="宋体"/>
                <w:bCs/>
                <w:sz w:val="21"/>
                <w:szCs w:val="21"/>
                <w:highlight w:val="none"/>
                <w:lang w:val="en-US" w:eastAsia="zh-CN"/>
              </w:rPr>
              <w:t>10</w:t>
            </w:r>
            <w:r>
              <w:rPr>
                <w:rFonts w:hint="eastAsia" w:ascii="宋体" w:hAnsi="宋体" w:eastAsia="宋体" w:cs="宋体"/>
                <w:bCs/>
                <w:sz w:val="21"/>
                <w:szCs w:val="21"/>
                <w:highlight w:val="none"/>
                <w:lang w:val="en-US" w:eastAsia="zh-CN"/>
              </w:rPr>
              <w:t>分）售后服务方案全面完善，</w:t>
            </w:r>
            <w:r>
              <w:rPr>
                <w:rFonts w:hint="eastAsia" w:hAnsi="宋体" w:eastAsia="宋体" w:cs="宋体"/>
                <w:bCs/>
                <w:sz w:val="21"/>
                <w:szCs w:val="21"/>
                <w:highlight w:val="none"/>
                <w:lang w:val="en-US" w:eastAsia="zh-CN"/>
              </w:rPr>
              <w:t>方案详尽</w:t>
            </w:r>
            <w:r>
              <w:rPr>
                <w:rFonts w:hint="eastAsia" w:ascii="宋体" w:hAnsi="宋体" w:eastAsia="宋体" w:cs="宋体"/>
                <w:bCs/>
                <w:sz w:val="21"/>
                <w:szCs w:val="21"/>
                <w:highlight w:val="none"/>
                <w:lang w:val="en-US" w:eastAsia="zh-CN"/>
              </w:rPr>
              <w:t>，咨询</w:t>
            </w:r>
            <w:r>
              <w:rPr>
                <w:rFonts w:hint="eastAsia" w:hAnsi="宋体" w:eastAsia="宋体" w:cs="宋体"/>
                <w:bCs/>
                <w:sz w:val="21"/>
                <w:szCs w:val="21"/>
                <w:highlight w:val="none"/>
                <w:lang w:val="en-US" w:eastAsia="zh-CN"/>
              </w:rPr>
              <w:t>沟通应答机制较完善，时效性较高</w:t>
            </w:r>
            <w:r>
              <w:rPr>
                <w:rFonts w:hint="eastAsia" w:ascii="宋体" w:hAnsi="宋体" w:eastAsia="宋体" w:cs="宋体"/>
                <w:bCs/>
                <w:sz w:val="21"/>
                <w:szCs w:val="21"/>
                <w:highlight w:val="none"/>
                <w:lang w:val="en-US" w:eastAsia="zh-CN"/>
              </w:rPr>
              <w:t>。</w:t>
            </w:r>
          </w:p>
        </w:tc>
        <w:tc>
          <w:tcPr>
            <w:tcW w:w="975" w:type="dxa"/>
            <w:tcBorders>
              <w:top w:val="single" w:color="auto" w:sz="4" w:space="0"/>
              <w:left w:val="single" w:color="auto" w:sz="4" w:space="0"/>
              <w:bottom w:val="single" w:color="auto" w:sz="4" w:space="0"/>
              <w:right w:val="single" w:color="auto" w:sz="4" w:space="0"/>
            </w:tcBorders>
            <w:noWrap w:val="0"/>
            <w:vAlign w:val="center"/>
          </w:tcPr>
          <w:p w14:paraId="376A6204">
            <w:pPr>
              <w:pStyle w:val="25"/>
              <w:keepNext w:val="0"/>
              <w:keepLines w:val="0"/>
              <w:pageBreakBefore w:val="0"/>
              <w:kinsoku/>
              <w:wordWrap/>
              <w:overflowPunct/>
              <w:topLinePunct w:val="0"/>
              <w:autoSpaceDE/>
              <w:autoSpaceDN/>
              <w:bidi w:val="0"/>
              <w:adjustRightInd/>
              <w:snapToGrid/>
              <w:spacing w:line="380" w:lineRule="exact"/>
              <w:ind w:firstLine="0" w:firstLineChars="0"/>
              <w:jc w:val="both"/>
              <w:textAlignment w:val="auto"/>
              <w:rPr>
                <w:rFonts w:hint="eastAsia" w:ascii="宋体" w:hAnsi="宋体" w:eastAsia="宋体" w:cs="宋体"/>
                <w:bCs/>
                <w:sz w:val="21"/>
                <w:szCs w:val="21"/>
                <w:highlight w:val="none"/>
                <w:lang w:val="en-US" w:eastAsia="zh-CN"/>
              </w:rPr>
            </w:pPr>
          </w:p>
        </w:tc>
      </w:tr>
    </w:tbl>
    <w:p w14:paraId="1E7465FC">
      <w:pPr>
        <w:pStyle w:val="36"/>
        <w:rPr>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20C838E">
      <w:pPr>
        <w:snapToGrid w:val="0"/>
        <w:spacing w:before="156" w:beforeLines="50" w:after="50" w:line="440" w:lineRule="exact"/>
        <w:rPr>
          <w:b/>
          <w:bCs/>
          <w:sz w:val="24"/>
          <w:highlight w:val="none"/>
        </w:rPr>
      </w:pPr>
      <w:r>
        <w:rPr>
          <w:b/>
          <w:sz w:val="24"/>
          <w:highlight w:val="none"/>
        </w:rPr>
        <w:t>响应文件格式</w:t>
      </w:r>
    </w:p>
    <w:p w14:paraId="447CB068">
      <w:pPr>
        <w:snapToGrid w:val="0"/>
        <w:spacing w:before="156" w:beforeLines="50" w:after="50" w:line="440" w:lineRule="exact"/>
        <w:jc w:val="center"/>
        <w:rPr>
          <w:sz w:val="24"/>
          <w:highlight w:val="none"/>
        </w:rPr>
      </w:pPr>
    </w:p>
    <w:p w14:paraId="7374AA17">
      <w:pPr>
        <w:snapToGrid w:val="0"/>
        <w:spacing w:before="50" w:after="50" w:line="440" w:lineRule="exact"/>
        <w:ind w:firstLine="138" w:firstLineChars="49"/>
        <w:jc w:val="both"/>
        <w:rPr>
          <w:b/>
          <w:sz w:val="28"/>
          <w:szCs w:val="28"/>
          <w:highlight w:val="none"/>
        </w:rPr>
      </w:pPr>
      <w:r>
        <w:rPr>
          <w:b/>
          <w:sz w:val="28"/>
          <w:szCs w:val="28"/>
          <w:highlight w:val="none"/>
        </w:rPr>
        <w:t>目录</w:t>
      </w:r>
    </w:p>
    <w:p w14:paraId="7B73943E">
      <w:pPr>
        <w:snapToGrid w:val="0"/>
        <w:spacing w:before="50" w:after="50" w:line="440" w:lineRule="exact"/>
        <w:ind w:firstLine="117" w:firstLineChars="49"/>
        <w:jc w:val="both"/>
        <w:rPr>
          <w:b/>
          <w:sz w:val="24"/>
          <w:highlight w:val="none"/>
        </w:rPr>
      </w:pPr>
      <w:r>
        <w:rPr>
          <w:rFonts w:hint="eastAsia"/>
          <w:b w:val="0"/>
          <w:bCs/>
          <w:sz w:val="24"/>
          <w:highlight w:val="none"/>
          <w:lang w:val="en-US" w:eastAsia="zh-CN"/>
        </w:rPr>
        <w:t>根据磋商文件规定及供应商提供的材料自行编写目录，</w:t>
      </w:r>
      <w:r>
        <w:rPr>
          <w:b w:val="0"/>
          <w:bCs/>
          <w:sz w:val="24"/>
          <w:highlight w:val="none"/>
        </w:rPr>
        <w:t>需有页码</w:t>
      </w:r>
    </w:p>
    <w:p w14:paraId="12868648">
      <w:pPr>
        <w:pStyle w:val="2"/>
        <w:ind w:firstLine="420"/>
        <w:rPr>
          <w:highlight w:val="none"/>
        </w:rPr>
      </w:pPr>
    </w:p>
    <w:p w14:paraId="31E4E8AD">
      <w:pPr>
        <w:ind w:firstLine="527" w:firstLineChars="250"/>
        <w:jc w:val="center"/>
        <w:rPr>
          <w:b/>
          <w:bCs/>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630D3916">
      <w:pPr>
        <w:keepNext w:val="0"/>
        <w:keepLines w:val="0"/>
        <w:pageBreakBefore w:val="0"/>
        <w:widowControl w:val="0"/>
        <w:kinsoku/>
        <w:wordWrap/>
        <w:overflowPunct/>
        <w:topLinePunct w:val="0"/>
        <w:autoSpaceDE/>
        <w:autoSpaceDN/>
        <w:bidi w:val="0"/>
        <w:adjustRightInd/>
        <w:spacing w:line="400" w:lineRule="exact"/>
        <w:jc w:val="both"/>
        <w:textAlignment w:val="auto"/>
        <w:rPr>
          <w:rFonts w:hint="eastAsia" w:ascii="宋体" w:hAnsi="宋体" w:eastAsia="宋体" w:cs="宋体"/>
          <w:b/>
          <w:sz w:val="21"/>
          <w:szCs w:val="21"/>
          <w:highlight w:val="none"/>
          <w:lang w:eastAsia="zh-CN"/>
        </w:rPr>
      </w:pPr>
      <w:bookmarkStart w:id="228" w:name="_Toc380054675"/>
      <w:bookmarkStart w:id="229" w:name="_Toc183712409"/>
      <w:bookmarkStart w:id="230" w:name="_Toc181778300"/>
      <w:bookmarkStart w:id="231" w:name="_Toc186382413"/>
      <w:bookmarkStart w:id="232" w:name="_Toc181958776"/>
      <w:bookmarkStart w:id="233" w:name="_Toc186917284"/>
      <w:bookmarkStart w:id="234" w:name="_Toc187120980"/>
      <w:bookmarkStart w:id="235" w:name="_Toc476524897"/>
      <w:bookmarkStart w:id="236" w:name="_Toc380762233"/>
      <w:bookmarkStart w:id="237" w:name="_Toc182273924"/>
      <w:bookmarkStart w:id="238" w:name="_Toc187060990"/>
      <w:bookmarkStart w:id="239" w:name="_Toc135752560"/>
      <w:bookmarkStart w:id="240" w:name="_Toc186915358"/>
      <w:bookmarkStart w:id="241" w:name="_Toc186101190"/>
      <w:bookmarkStart w:id="242" w:name="_Toc186917122"/>
      <w:bookmarkStart w:id="243" w:name="_Toc182274056"/>
      <w:bookmarkStart w:id="244" w:name="_Toc187243761"/>
      <w:r>
        <w:rPr>
          <w:rFonts w:hint="eastAsia" w:ascii="宋体" w:hAnsi="宋体" w:eastAsia="宋体" w:cs="宋体"/>
          <w:b/>
          <w:sz w:val="21"/>
          <w:szCs w:val="21"/>
          <w:highlight w:val="none"/>
          <w:lang w:val="en-US" w:eastAsia="zh-CN"/>
        </w:rPr>
        <w:t>1.</w:t>
      </w:r>
      <w:r>
        <w:rPr>
          <w:rFonts w:hint="eastAsia" w:ascii="宋体" w:hAnsi="宋体" w:eastAsia="宋体" w:cs="宋体"/>
          <w:b/>
          <w:sz w:val="21"/>
          <w:szCs w:val="21"/>
          <w:highlight w:val="none"/>
        </w:rPr>
        <w:t>供应商直接控股、管理关系信息</w:t>
      </w:r>
      <w:r>
        <w:rPr>
          <w:rFonts w:hint="eastAsia" w:ascii="宋体" w:hAnsi="宋体" w:eastAsia="宋体" w:cs="宋体"/>
          <w:b/>
          <w:bCs w:val="0"/>
          <w:sz w:val="21"/>
          <w:szCs w:val="21"/>
          <w:highlight w:val="none"/>
        </w:rPr>
        <w:t>表</w:t>
      </w:r>
      <w:r>
        <w:rPr>
          <w:rFonts w:hint="eastAsia"/>
          <w:b/>
          <w:bCs w:val="0"/>
          <w:highlight w:val="none"/>
          <w:lang w:eastAsia="zh-CN"/>
        </w:rPr>
        <w:t>（</w:t>
      </w:r>
      <w:r>
        <w:rPr>
          <w:rFonts w:hint="eastAsia"/>
          <w:b/>
          <w:bCs w:val="0"/>
          <w:highlight w:val="none"/>
          <w:lang w:val="en-US" w:eastAsia="zh-CN"/>
        </w:rPr>
        <w:t>必须提供</w:t>
      </w:r>
      <w:r>
        <w:rPr>
          <w:rFonts w:hint="eastAsia"/>
          <w:b/>
          <w:bCs w:val="0"/>
          <w:highlight w:val="none"/>
          <w:lang w:eastAsia="zh-CN"/>
        </w:rPr>
        <w:t>）</w:t>
      </w:r>
    </w:p>
    <w:p w14:paraId="1650C3CD">
      <w:pPr>
        <w:keepNext w:val="0"/>
        <w:keepLines w:val="0"/>
        <w:pageBreakBefore w:val="0"/>
        <w:widowControl w:val="0"/>
        <w:kinsoku/>
        <w:wordWrap/>
        <w:overflowPunct/>
        <w:topLinePunct w:val="0"/>
        <w:autoSpaceDE/>
        <w:autoSpaceDN/>
        <w:bidi w:val="0"/>
        <w:adjustRightInd/>
        <w:snapToGrid w:val="0"/>
        <w:spacing w:line="400" w:lineRule="exact"/>
        <w:jc w:val="center"/>
        <w:textAlignment w:val="auto"/>
        <w:rPr>
          <w:rFonts w:hint="eastAsia" w:ascii="宋体" w:hAnsi="宋体" w:eastAsia="宋体" w:cs="宋体"/>
          <w:b/>
          <w:sz w:val="21"/>
          <w:szCs w:val="21"/>
          <w:highlight w:val="none"/>
        </w:rPr>
      </w:pPr>
    </w:p>
    <w:p w14:paraId="673DC9AE">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sz w:val="21"/>
          <w:szCs w:val="21"/>
          <w:highlight w:val="none"/>
        </w:rPr>
      </w:pPr>
      <w:r>
        <w:rPr>
          <w:rFonts w:hint="eastAsia" w:ascii="宋体" w:hAnsi="宋体" w:eastAsia="宋体" w:cs="宋体"/>
          <w:b/>
          <w:sz w:val="21"/>
          <w:szCs w:val="21"/>
          <w:highlight w:val="none"/>
        </w:rPr>
        <w:t>供应商直接控股股东信息表</w:t>
      </w:r>
    </w:p>
    <w:p w14:paraId="40548043">
      <w:pPr>
        <w:keepNext w:val="0"/>
        <w:keepLines w:val="0"/>
        <w:pageBreakBefore w:val="0"/>
        <w:widowControl w:val="0"/>
        <w:kinsoku/>
        <w:wordWrap/>
        <w:overflowPunct/>
        <w:topLinePunct w:val="0"/>
        <w:autoSpaceDE/>
        <w:autoSpaceDN/>
        <w:bidi w:val="0"/>
        <w:adjustRightInd/>
        <w:spacing w:line="400" w:lineRule="exact"/>
        <w:contextualSpacing/>
        <w:jc w:val="center"/>
        <w:textAlignment w:val="auto"/>
        <w:rPr>
          <w:rFonts w:hint="eastAsia" w:ascii="宋体" w:hAnsi="宋体" w:eastAsia="宋体" w:cs="宋体"/>
          <w:b/>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80"/>
        <w:gridCol w:w="2655"/>
        <w:gridCol w:w="1455"/>
        <w:gridCol w:w="4287"/>
        <w:gridCol w:w="870"/>
      </w:tblGrid>
      <w:tr w14:paraId="5EFCAEC7">
        <w:tblPrEx>
          <w:tblCellMar>
            <w:top w:w="0" w:type="dxa"/>
            <w:left w:w="0" w:type="dxa"/>
            <w:bottom w:w="0" w:type="dxa"/>
            <w:right w:w="0" w:type="dxa"/>
          </w:tblCellMar>
        </w:tblPrEx>
        <w:trPr>
          <w:tblHeade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AD4091E">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序号</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7EEC607">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直接控股股东名称</w:t>
            </w: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6B7893">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出资比例</w:t>
            </w: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79B3A07">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90BC225">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备注</w:t>
            </w:r>
          </w:p>
        </w:tc>
      </w:tr>
      <w:tr w14:paraId="4A7DB3F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7ACA09D">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84FA76">
            <w:pPr>
              <w:widowControl/>
              <w:spacing w:line="360" w:lineRule="auto"/>
              <w:contextualSpacing/>
              <w:jc w:val="center"/>
              <w:rPr>
                <w:rFonts w:hint="eastAsia" w:ascii="宋体" w:hAnsi="宋体" w:eastAsia="宋体" w:cs="宋体"/>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24BBE5B">
            <w:pPr>
              <w:widowControl/>
              <w:spacing w:line="360" w:lineRule="auto"/>
              <w:contextualSpacing/>
              <w:jc w:val="center"/>
              <w:rPr>
                <w:rFonts w:hint="eastAsia" w:ascii="宋体" w:hAnsi="宋体" w:eastAsia="宋体" w:cs="宋体"/>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65A0B23">
            <w:pPr>
              <w:widowControl/>
              <w:spacing w:line="360" w:lineRule="auto"/>
              <w:contextualSpacing/>
              <w:jc w:val="center"/>
              <w:rPr>
                <w:rFonts w:hint="eastAsia" w:ascii="宋体" w:hAnsi="宋体" w:eastAsia="宋体" w:cs="宋体"/>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6B04AB1">
            <w:pPr>
              <w:widowControl/>
              <w:spacing w:line="360" w:lineRule="auto"/>
              <w:contextualSpacing/>
              <w:jc w:val="center"/>
              <w:rPr>
                <w:rFonts w:hint="eastAsia" w:ascii="宋体" w:hAnsi="宋体" w:eastAsia="宋体" w:cs="宋体"/>
                <w:kern w:val="0"/>
                <w:sz w:val="21"/>
                <w:szCs w:val="21"/>
                <w:highlight w:val="none"/>
              </w:rPr>
            </w:pPr>
          </w:p>
        </w:tc>
      </w:tr>
      <w:tr w14:paraId="200B0783">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D655DCC">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4A42A8">
            <w:pPr>
              <w:widowControl/>
              <w:spacing w:line="360" w:lineRule="auto"/>
              <w:contextualSpacing/>
              <w:jc w:val="center"/>
              <w:rPr>
                <w:rFonts w:hint="eastAsia" w:ascii="宋体" w:hAnsi="宋体" w:eastAsia="宋体" w:cs="宋体"/>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D9AE9A">
            <w:pPr>
              <w:widowControl/>
              <w:spacing w:line="360" w:lineRule="auto"/>
              <w:contextualSpacing/>
              <w:jc w:val="center"/>
              <w:rPr>
                <w:rFonts w:hint="eastAsia" w:ascii="宋体" w:hAnsi="宋体" w:eastAsia="宋体" w:cs="宋体"/>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CD3ACB8">
            <w:pPr>
              <w:widowControl/>
              <w:spacing w:line="360" w:lineRule="auto"/>
              <w:contextualSpacing/>
              <w:jc w:val="center"/>
              <w:rPr>
                <w:rFonts w:hint="eastAsia" w:ascii="宋体" w:hAnsi="宋体" w:eastAsia="宋体" w:cs="宋体"/>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FF43D9">
            <w:pPr>
              <w:widowControl/>
              <w:spacing w:line="360" w:lineRule="auto"/>
              <w:contextualSpacing/>
              <w:jc w:val="center"/>
              <w:rPr>
                <w:rFonts w:hint="eastAsia" w:ascii="宋体" w:hAnsi="宋体" w:eastAsia="宋体" w:cs="宋体"/>
                <w:kern w:val="0"/>
                <w:sz w:val="21"/>
                <w:szCs w:val="21"/>
                <w:highlight w:val="none"/>
              </w:rPr>
            </w:pPr>
          </w:p>
        </w:tc>
      </w:tr>
      <w:tr w14:paraId="149683F5">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4630C0">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ABA8C4F">
            <w:pPr>
              <w:widowControl/>
              <w:spacing w:line="360" w:lineRule="auto"/>
              <w:contextualSpacing/>
              <w:jc w:val="center"/>
              <w:rPr>
                <w:rFonts w:hint="eastAsia" w:ascii="宋体" w:hAnsi="宋体" w:eastAsia="宋体" w:cs="宋体"/>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B7FE6D">
            <w:pPr>
              <w:widowControl/>
              <w:spacing w:line="360" w:lineRule="auto"/>
              <w:contextualSpacing/>
              <w:jc w:val="center"/>
              <w:rPr>
                <w:rFonts w:hint="eastAsia" w:ascii="宋体" w:hAnsi="宋体" w:eastAsia="宋体" w:cs="宋体"/>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DF1B2F4">
            <w:pPr>
              <w:widowControl/>
              <w:spacing w:line="360" w:lineRule="auto"/>
              <w:contextualSpacing/>
              <w:jc w:val="center"/>
              <w:rPr>
                <w:rFonts w:hint="eastAsia" w:ascii="宋体" w:hAnsi="宋体" w:eastAsia="宋体" w:cs="宋体"/>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3B5363B">
            <w:pPr>
              <w:widowControl/>
              <w:spacing w:line="360" w:lineRule="auto"/>
              <w:contextualSpacing/>
              <w:jc w:val="center"/>
              <w:rPr>
                <w:rFonts w:hint="eastAsia" w:ascii="宋体" w:hAnsi="宋体" w:eastAsia="宋体" w:cs="宋体"/>
                <w:kern w:val="0"/>
                <w:sz w:val="21"/>
                <w:szCs w:val="21"/>
                <w:highlight w:val="none"/>
              </w:rPr>
            </w:pPr>
          </w:p>
        </w:tc>
      </w:tr>
      <w:tr w14:paraId="3DE0BBEE">
        <w:tblPrEx>
          <w:tblCellMar>
            <w:top w:w="0" w:type="dxa"/>
            <w:left w:w="0" w:type="dxa"/>
            <w:bottom w:w="0" w:type="dxa"/>
            <w:right w:w="0" w:type="dxa"/>
          </w:tblCellMar>
        </w:tblPrEx>
        <w:trPr>
          <w:jc w:val="center"/>
        </w:trPr>
        <w:tc>
          <w:tcPr>
            <w:tcW w:w="88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DC49A2D">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w:t>
            </w:r>
          </w:p>
        </w:tc>
        <w:tc>
          <w:tcPr>
            <w:tcW w:w="26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78627A1">
            <w:pPr>
              <w:widowControl/>
              <w:spacing w:line="360" w:lineRule="auto"/>
              <w:contextualSpacing/>
              <w:jc w:val="center"/>
              <w:rPr>
                <w:rFonts w:hint="eastAsia" w:ascii="宋体" w:hAnsi="宋体" w:eastAsia="宋体" w:cs="宋体"/>
                <w:kern w:val="0"/>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2D394C2">
            <w:pPr>
              <w:widowControl/>
              <w:spacing w:line="360" w:lineRule="auto"/>
              <w:contextualSpacing/>
              <w:jc w:val="center"/>
              <w:rPr>
                <w:rFonts w:hint="eastAsia" w:ascii="宋体" w:hAnsi="宋体" w:eastAsia="宋体" w:cs="宋体"/>
                <w:kern w:val="0"/>
                <w:sz w:val="21"/>
                <w:szCs w:val="21"/>
                <w:highlight w:val="none"/>
              </w:rPr>
            </w:pPr>
          </w:p>
        </w:tc>
        <w:tc>
          <w:tcPr>
            <w:tcW w:w="4287"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EA4E4E6">
            <w:pPr>
              <w:widowControl/>
              <w:spacing w:line="360" w:lineRule="auto"/>
              <w:contextualSpacing/>
              <w:jc w:val="center"/>
              <w:rPr>
                <w:rFonts w:hint="eastAsia" w:ascii="宋体" w:hAnsi="宋体" w:eastAsia="宋体" w:cs="宋体"/>
                <w:kern w:val="0"/>
                <w:sz w:val="21"/>
                <w:szCs w:val="21"/>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67220E1">
            <w:pPr>
              <w:widowControl/>
              <w:spacing w:line="360" w:lineRule="auto"/>
              <w:contextualSpacing/>
              <w:jc w:val="center"/>
              <w:rPr>
                <w:rFonts w:hint="eastAsia" w:ascii="宋体" w:hAnsi="宋体" w:eastAsia="宋体" w:cs="宋体"/>
                <w:kern w:val="0"/>
                <w:sz w:val="21"/>
                <w:szCs w:val="21"/>
                <w:highlight w:val="none"/>
              </w:rPr>
            </w:pPr>
          </w:p>
        </w:tc>
      </w:tr>
    </w:tbl>
    <w:p w14:paraId="6C84A31C">
      <w:pPr>
        <w:spacing w:line="360" w:lineRule="auto"/>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7E4F5908">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510ADD7F">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2.本表所指的控股关系仅限于直接控股关系，不包括间接的控股关系。公司实际控制人与公司之间的关系不属于本表所指的直接控股关系。</w:t>
      </w:r>
    </w:p>
    <w:p w14:paraId="073B2055">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3.供应商不存在直接控股股东的，则填“无”。</w:t>
      </w:r>
    </w:p>
    <w:p w14:paraId="105F920B">
      <w:pPr>
        <w:snapToGrid w:val="0"/>
        <w:spacing w:line="360" w:lineRule="auto"/>
        <w:jc w:val="left"/>
        <w:rPr>
          <w:rFonts w:hint="eastAsia" w:ascii="宋体" w:hAnsi="宋体" w:eastAsia="宋体" w:cs="宋体"/>
          <w:sz w:val="21"/>
          <w:szCs w:val="21"/>
          <w:highlight w:val="none"/>
        </w:rPr>
      </w:pPr>
    </w:p>
    <w:p w14:paraId="23106501">
      <w:pPr>
        <w:snapToGrid w:val="0"/>
        <w:spacing w:line="360" w:lineRule="auto"/>
        <w:jc w:val="left"/>
        <w:rPr>
          <w:rFonts w:hint="eastAsia" w:ascii="宋体" w:hAnsi="宋体" w:eastAsia="宋体" w:cs="宋体"/>
          <w:sz w:val="21"/>
          <w:szCs w:val="21"/>
          <w:highlight w:val="none"/>
        </w:rPr>
      </w:pPr>
    </w:p>
    <w:p w14:paraId="405A16DF">
      <w:pPr>
        <w:snapToGrid w:val="0"/>
        <w:spacing w:line="360" w:lineRule="auto"/>
        <w:jc w:val="left"/>
        <w:rPr>
          <w:rFonts w:hint="eastAsia" w:ascii="宋体" w:hAnsi="宋体" w:eastAsia="宋体" w:cs="宋体"/>
          <w:sz w:val="21"/>
          <w:szCs w:val="21"/>
          <w:highlight w:val="none"/>
        </w:rPr>
      </w:pPr>
    </w:p>
    <w:p w14:paraId="73B63FAA">
      <w:pPr>
        <w:snapToGrid w:val="0"/>
        <w:spacing w:before="156" w:beforeLines="50" w:line="360" w:lineRule="auto"/>
        <w:ind w:right="480" w:firstLine="1680" w:firstLineChars="80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法定代表人或者委托代理人签字：</w:t>
      </w:r>
      <w:r>
        <w:rPr>
          <w:rFonts w:hint="eastAsia" w:ascii="宋体" w:hAnsi="宋体" w:eastAsia="宋体" w:cs="宋体"/>
          <w:sz w:val="21"/>
          <w:szCs w:val="21"/>
          <w:highlight w:val="none"/>
          <w:u w:val="single"/>
        </w:rPr>
        <w:t xml:space="preserve">                </w:t>
      </w:r>
    </w:p>
    <w:p w14:paraId="2BB21088">
      <w:pPr>
        <w:snapToGrid w:val="0"/>
        <w:spacing w:before="156" w:beforeLines="50" w:after="50" w:line="360" w:lineRule="auto"/>
        <w:ind w:right="480" w:firstLine="2625" w:firstLineChars="1250"/>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供应商（盖公章 ）：</w:t>
      </w:r>
      <w:r>
        <w:rPr>
          <w:rFonts w:hint="eastAsia" w:ascii="宋体" w:hAnsi="宋体" w:eastAsia="宋体" w:cs="宋体"/>
          <w:sz w:val="21"/>
          <w:szCs w:val="21"/>
          <w:highlight w:val="none"/>
          <w:u w:val="single"/>
        </w:rPr>
        <w:t xml:space="preserve">                              </w:t>
      </w:r>
    </w:p>
    <w:p w14:paraId="55D0AC65">
      <w:pPr>
        <w:snapToGrid w:val="0"/>
        <w:spacing w:before="156" w:beforeLines="50" w:after="50" w:line="360" w:lineRule="auto"/>
        <w:ind w:right="480" w:firstLine="4620" w:firstLineChars="2200"/>
        <w:rPr>
          <w:rFonts w:hint="eastAsia" w:ascii="宋体" w:hAnsi="宋体" w:eastAsia="宋体" w:cs="宋体"/>
          <w:sz w:val="21"/>
          <w:szCs w:val="21"/>
          <w:highlight w:val="none"/>
        </w:rPr>
      </w:pPr>
      <w:r>
        <w:rPr>
          <w:rFonts w:hint="eastAsia" w:ascii="宋体" w:hAnsi="宋体" w:eastAsia="宋体" w:cs="宋体"/>
          <w:sz w:val="21"/>
          <w:szCs w:val="21"/>
          <w:highlight w:val="none"/>
        </w:rPr>
        <w:t>年    月    日</w:t>
      </w:r>
    </w:p>
    <w:p w14:paraId="7A169E4F">
      <w:pPr>
        <w:snapToGrid w:val="0"/>
        <w:jc w:val="center"/>
        <w:rPr>
          <w:rFonts w:hint="eastAsia" w:ascii="宋体" w:hAnsi="宋体" w:eastAsia="宋体" w:cs="宋体"/>
          <w:b/>
          <w:sz w:val="21"/>
          <w:szCs w:val="21"/>
          <w:highlight w:val="none"/>
        </w:rPr>
      </w:pPr>
      <w:r>
        <w:rPr>
          <w:rFonts w:hint="eastAsia" w:ascii="宋体" w:hAnsi="宋体" w:eastAsia="宋体" w:cs="宋体"/>
          <w:b/>
          <w:sz w:val="21"/>
          <w:szCs w:val="21"/>
          <w:highlight w:val="none"/>
        </w:rPr>
        <w:br w:type="page"/>
      </w:r>
    </w:p>
    <w:p w14:paraId="15DCBC20">
      <w:pPr>
        <w:spacing w:line="320" w:lineRule="exact"/>
        <w:jc w:val="both"/>
        <w:rPr>
          <w:rFonts w:hint="eastAsia" w:ascii="宋体" w:hAnsi="宋体" w:eastAsia="宋体" w:cs="宋体"/>
          <w:b/>
          <w:bCs/>
          <w:sz w:val="21"/>
          <w:szCs w:val="21"/>
          <w:highlight w:val="none"/>
        </w:rPr>
      </w:pPr>
      <w:r>
        <w:rPr>
          <w:rFonts w:hint="eastAsia" w:ascii="宋体" w:hAnsi="宋体" w:eastAsia="宋体" w:cs="宋体"/>
          <w:b/>
          <w:sz w:val="21"/>
          <w:szCs w:val="21"/>
          <w:highlight w:val="none"/>
          <w:lang w:val="en-US" w:eastAsia="zh-CN"/>
        </w:rPr>
        <w:t>2.</w:t>
      </w:r>
      <w:r>
        <w:rPr>
          <w:rFonts w:hint="eastAsia" w:ascii="宋体" w:hAnsi="宋体" w:eastAsia="宋体" w:cs="宋体"/>
          <w:b/>
          <w:sz w:val="21"/>
          <w:szCs w:val="21"/>
          <w:highlight w:val="none"/>
        </w:rPr>
        <w:t>供应商直接管理关系信息表</w:t>
      </w:r>
      <w:r>
        <w:rPr>
          <w:rFonts w:hint="eastAsia"/>
          <w:b/>
          <w:bCs/>
          <w:highlight w:val="none"/>
          <w:lang w:eastAsia="zh-CN"/>
        </w:rPr>
        <w:t>（</w:t>
      </w:r>
      <w:r>
        <w:rPr>
          <w:rFonts w:hint="eastAsia"/>
          <w:b/>
          <w:bCs/>
          <w:highlight w:val="none"/>
          <w:lang w:val="en-US" w:eastAsia="zh-CN"/>
        </w:rPr>
        <w:t>必须提供</w:t>
      </w:r>
      <w:r>
        <w:rPr>
          <w:rFonts w:hint="eastAsia"/>
          <w:b/>
          <w:bCs/>
          <w:highlight w:val="none"/>
          <w:lang w:eastAsia="zh-CN"/>
        </w:rPr>
        <w:t>）</w:t>
      </w:r>
    </w:p>
    <w:p w14:paraId="58077D14">
      <w:pPr>
        <w:snapToGrid w:val="0"/>
        <w:spacing w:line="360" w:lineRule="auto"/>
        <w:jc w:val="center"/>
        <w:rPr>
          <w:rFonts w:hint="eastAsia" w:ascii="宋体" w:hAnsi="宋体" w:eastAsia="宋体" w:cs="宋体"/>
          <w:b/>
          <w:sz w:val="21"/>
          <w:szCs w:val="21"/>
          <w:highlight w:val="none"/>
        </w:rPr>
      </w:pPr>
    </w:p>
    <w:tbl>
      <w:tblPr>
        <w:tblStyle w:val="42"/>
        <w:tblW w:w="0" w:type="auto"/>
        <w:jc w:val="center"/>
        <w:shd w:val="clear" w:color="auto" w:fill="FBFBFB"/>
        <w:tblLayout w:type="fixed"/>
        <w:tblCellMar>
          <w:top w:w="0" w:type="dxa"/>
          <w:left w:w="0" w:type="dxa"/>
          <w:bottom w:w="0" w:type="dxa"/>
          <w:right w:w="0" w:type="dxa"/>
        </w:tblCellMar>
      </w:tblPr>
      <w:tblGrid>
        <w:gridCol w:w="808"/>
        <w:gridCol w:w="3600"/>
        <w:gridCol w:w="3555"/>
        <w:gridCol w:w="1689"/>
      </w:tblGrid>
      <w:tr w14:paraId="44003A75">
        <w:tblPrEx>
          <w:shd w:val="clear" w:color="auto" w:fill="FBFBFB"/>
          <w:tblCellMar>
            <w:top w:w="0" w:type="dxa"/>
            <w:left w:w="0" w:type="dxa"/>
            <w:bottom w:w="0" w:type="dxa"/>
            <w:right w:w="0" w:type="dxa"/>
          </w:tblCellMar>
        </w:tblPrEx>
        <w:trPr>
          <w:tblHeade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38DAABC">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序号</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B7A6678">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6656C4BD">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统一社会信用代码</w:t>
            </w: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1B8D97D5">
            <w:pPr>
              <w:widowControl/>
              <w:spacing w:line="360" w:lineRule="auto"/>
              <w:contextualSpacing/>
              <w:jc w:val="center"/>
              <w:rPr>
                <w:rFonts w:hint="eastAsia" w:ascii="宋体" w:hAnsi="宋体" w:eastAsia="宋体" w:cs="宋体"/>
                <w:b/>
                <w:bCs/>
                <w:kern w:val="0"/>
                <w:sz w:val="21"/>
                <w:szCs w:val="21"/>
                <w:highlight w:val="none"/>
              </w:rPr>
            </w:pPr>
            <w:r>
              <w:rPr>
                <w:rFonts w:hint="eastAsia" w:ascii="宋体" w:hAnsi="宋体" w:eastAsia="宋体" w:cs="宋体"/>
                <w:b/>
                <w:bCs/>
                <w:kern w:val="0"/>
                <w:sz w:val="21"/>
                <w:szCs w:val="21"/>
                <w:highlight w:val="none"/>
              </w:rPr>
              <w:t>备注</w:t>
            </w:r>
          </w:p>
        </w:tc>
      </w:tr>
      <w:tr w14:paraId="4468EC55">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D6AED01">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1</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11C423">
            <w:pPr>
              <w:widowControl/>
              <w:spacing w:line="360" w:lineRule="auto"/>
              <w:contextualSpacing/>
              <w:jc w:val="center"/>
              <w:rPr>
                <w:rFonts w:hint="eastAsia" w:ascii="宋体" w:hAnsi="宋体" w:eastAsia="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B26274B">
            <w:pPr>
              <w:widowControl/>
              <w:spacing w:line="360" w:lineRule="auto"/>
              <w:contextualSpacing/>
              <w:jc w:val="center"/>
              <w:rPr>
                <w:rFonts w:hint="eastAsia" w:ascii="宋体" w:hAnsi="宋体" w:eastAsia="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09140E3">
            <w:pPr>
              <w:widowControl/>
              <w:spacing w:line="360" w:lineRule="auto"/>
              <w:contextualSpacing/>
              <w:jc w:val="center"/>
              <w:rPr>
                <w:rFonts w:hint="eastAsia" w:ascii="宋体" w:hAnsi="宋体" w:eastAsia="宋体" w:cs="宋体"/>
                <w:kern w:val="0"/>
                <w:sz w:val="21"/>
                <w:szCs w:val="21"/>
                <w:highlight w:val="none"/>
              </w:rPr>
            </w:pPr>
          </w:p>
        </w:tc>
      </w:tr>
      <w:tr w14:paraId="4CEF944F">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F06936A">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2</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14FA7AF">
            <w:pPr>
              <w:widowControl/>
              <w:spacing w:line="360" w:lineRule="auto"/>
              <w:contextualSpacing/>
              <w:jc w:val="center"/>
              <w:rPr>
                <w:rFonts w:hint="eastAsia" w:ascii="宋体" w:hAnsi="宋体" w:eastAsia="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C52BD8F">
            <w:pPr>
              <w:widowControl/>
              <w:spacing w:line="360" w:lineRule="auto"/>
              <w:contextualSpacing/>
              <w:jc w:val="center"/>
              <w:rPr>
                <w:rFonts w:hint="eastAsia" w:ascii="宋体" w:hAnsi="宋体" w:eastAsia="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CA4CA78">
            <w:pPr>
              <w:widowControl/>
              <w:spacing w:line="360" w:lineRule="auto"/>
              <w:contextualSpacing/>
              <w:jc w:val="center"/>
              <w:rPr>
                <w:rFonts w:hint="eastAsia" w:ascii="宋体" w:hAnsi="宋体" w:eastAsia="宋体" w:cs="宋体"/>
                <w:kern w:val="0"/>
                <w:sz w:val="21"/>
                <w:szCs w:val="21"/>
                <w:highlight w:val="none"/>
              </w:rPr>
            </w:pPr>
          </w:p>
        </w:tc>
      </w:tr>
      <w:tr w14:paraId="544DC1C8">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2FB1204">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3</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7CDD76D">
            <w:pPr>
              <w:widowControl/>
              <w:spacing w:line="360" w:lineRule="auto"/>
              <w:contextualSpacing/>
              <w:jc w:val="center"/>
              <w:rPr>
                <w:rFonts w:hint="eastAsia" w:ascii="宋体" w:hAnsi="宋体" w:eastAsia="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5CD9A063">
            <w:pPr>
              <w:widowControl/>
              <w:spacing w:line="360" w:lineRule="auto"/>
              <w:contextualSpacing/>
              <w:jc w:val="center"/>
              <w:rPr>
                <w:rFonts w:hint="eastAsia" w:ascii="宋体" w:hAnsi="宋体" w:eastAsia="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39C22CA5">
            <w:pPr>
              <w:widowControl/>
              <w:spacing w:line="360" w:lineRule="auto"/>
              <w:contextualSpacing/>
              <w:jc w:val="center"/>
              <w:rPr>
                <w:rFonts w:hint="eastAsia" w:ascii="宋体" w:hAnsi="宋体" w:eastAsia="宋体" w:cs="宋体"/>
                <w:kern w:val="0"/>
                <w:sz w:val="21"/>
                <w:szCs w:val="21"/>
                <w:highlight w:val="none"/>
              </w:rPr>
            </w:pPr>
          </w:p>
        </w:tc>
      </w:tr>
      <w:tr w14:paraId="23E54BDE">
        <w:tblPrEx>
          <w:shd w:val="clear" w:color="auto" w:fill="FBFBFB"/>
          <w:tblCellMar>
            <w:top w:w="0" w:type="dxa"/>
            <w:left w:w="0" w:type="dxa"/>
            <w:bottom w:w="0" w:type="dxa"/>
            <w:right w:w="0" w:type="dxa"/>
          </w:tblCellMar>
        </w:tblPrEx>
        <w:trPr>
          <w:jc w:val="center"/>
        </w:trPr>
        <w:tc>
          <w:tcPr>
            <w:tcW w:w="808"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7955208E">
            <w:pPr>
              <w:widowControl/>
              <w:spacing w:line="360" w:lineRule="auto"/>
              <w:contextualSpacing/>
              <w:jc w:val="center"/>
              <w:rPr>
                <w:rFonts w:hint="eastAsia" w:ascii="宋体" w:hAnsi="宋体" w:eastAsia="宋体" w:cs="宋体"/>
                <w:kern w:val="0"/>
                <w:sz w:val="21"/>
                <w:szCs w:val="21"/>
                <w:highlight w:val="none"/>
              </w:rPr>
            </w:pPr>
            <w:r>
              <w:rPr>
                <w:rFonts w:hint="eastAsia" w:ascii="宋体" w:hAnsi="宋体" w:eastAsia="宋体" w:cs="宋体"/>
                <w:kern w:val="0"/>
                <w:sz w:val="21"/>
                <w:szCs w:val="21"/>
                <w:highlight w:val="none"/>
              </w:rPr>
              <w:t>……</w:t>
            </w:r>
          </w:p>
        </w:tc>
        <w:tc>
          <w:tcPr>
            <w:tcW w:w="3600"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453092E9">
            <w:pPr>
              <w:widowControl/>
              <w:spacing w:line="360" w:lineRule="auto"/>
              <w:contextualSpacing/>
              <w:jc w:val="center"/>
              <w:rPr>
                <w:rFonts w:hint="eastAsia" w:ascii="宋体" w:hAnsi="宋体" w:eastAsia="宋体" w:cs="宋体"/>
                <w:kern w:val="0"/>
                <w:sz w:val="21"/>
                <w:szCs w:val="21"/>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21D73A5C">
            <w:pPr>
              <w:widowControl/>
              <w:spacing w:line="360" w:lineRule="auto"/>
              <w:contextualSpacing/>
              <w:jc w:val="center"/>
              <w:rPr>
                <w:rFonts w:hint="eastAsia" w:ascii="宋体" w:hAnsi="宋体" w:eastAsia="宋体" w:cs="宋体"/>
                <w:kern w:val="0"/>
                <w:sz w:val="21"/>
                <w:szCs w:val="21"/>
                <w:highlight w:val="none"/>
              </w:rPr>
            </w:pPr>
          </w:p>
        </w:tc>
        <w:tc>
          <w:tcPr>
            <w:tcW w:w="1689" w:type="dxa"/>
            <w:tcBorders>
              <w:top w:val="single" w:color="auto" w:sz="4" w:space="0"/>
              <w:left w:val="single" w:color="auto" w:sz="4" w:space="0"/>
              <w:bottom w:val="single" w:color="auto" w:sz="4" w:space="0"/>
              <w:right w:val="single" w:color="auto" w:sz="4" w:space="0"/>
            </w:tcBorders>
            <w:shd w:val="clear" w:color="auto" w:fill="auto"/>
            <w:noWrap w:val="0"/>
            <w:tcMar>
              <w:top w:w="120" w:type="dxa"/>
              <w:left w:w="120" w:type="dxa"/>
              <w:bottom w:w="120" w:type="dxa"/>
              <w:right w:w="120" w:type="dxa"/>
            </w:tcMar>
            <w:vAlign w:val="center"/>
          </w:tcPr>
          <w:p w14:paraId="009D9390">
            <w:pPr>
              <w:widowControl/>
              <w:spacing w:line="360" w:lineRule="auto"/>
              <w:contextualSpacing/>
              <w:jc w:val="center"/>
              <w:rPr>
                <w:rFonts w:hint="eastAsia" w:ascii="宋体" w:hAnsi="宋体" w:eastAsia="宋体" w:cs="宋体"/>
                <w:kern w:val="0"/>
                <w:sz w:val="21"/>
                <w:szCs w:val="21"/>
                <w:highlight w:val="none"/>
              </w:rPr>
            </w:pPr>
          </w:p>
        </w:tc>
      </w:tr>
    </w:tbl>
    <w:p w14:paraId="3E149133">
      <w:pPr>
        <w:spacing w:line="360" w:lineRule="auto"/>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注：</w:t>
      </w:r>
    </w:p>
    <w:p w14:paraId="632D9CF3">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1.管理关系：是指不具有出资持股关系的其他单位之间存在的管理与被管理关系，如一些上下级关系的事业单位和团体组织。</w:t>
      </w:r>
    </w:p>
    <w:p w14:paraId="1D8BB5BF">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2.</w:t>
      </w:r>
      <w:r>
        <w:rPr>
          <w:rFonts w:hint="eastAsia" w:ascii="宋体" w:hAnsi="宋体" w:eastAsia="宋体" w:cs="宋体"/>
          <w:spacing w:val="-6"/>
          <w:sz w:val="21"/>
          <w:szCs w:val="21"/>
          <w:highlight w:val="none"/>
        </w:rPr>
        <w:t>本表所指的管理关系仅限于直接管理关系，不包括间接的管理关系。</w:t>
      </w:r>
    </w:p>
    <w:p w14:paraId="62257DED">
      <w:pPr>
        <w:spacing w:line="360" w:lineRule="auto"/>
        <w:ind w:firstLine="420" w:firstLineChars="200"/>
        <w:contextualSpacing/>
        <w:jc w:val="left"/>
        <w:rPr>
          <w:rFonts w:hint="eastAsia" w:ascii="宋体" w:hAnsi="宋体" w:eastAsia="宋体" w:cs="宋体"/>
          <w:sz w:val="21"/>
          <w:szCs w:val="21"/>
          <w:highlight w:val="none"/>
        </w:rPr>
      </w:pPr>
      <w:r>
        <w:rPr>
          <w:rFonts w:hint="eastAsia" w:ascii="宋体" w:hAnsi="宋体" w:eastAsia="宋体" w:cs="宋体"/>
          <w:sz w:val="21"/>
          <w:szCs w:val="21"/>
          <w:highlight w:val="none"/>
        </w:rPr>
        <w:t>3.供应商不存在直接管理关系的，则填“无”。</w:t>
      </w:r>
    </w:p>
    <w:p w14:paraId="62A7F7DC">
      <w:pPr>
        <w:spacing w:line="360" w:lineRule="auto"/>
        <w:contextualSpacing/>
        <w:jc w:val="left"/>
        <w:rPr>
          <w:rFonts w:hint="eastAsia" w:ascii="宋体" w:hAnsi="宋体" w:eastAsia="宋体" w:cs="宋体"/>
          <w:sz w:val="21"/>
          <w:szCs w:val="21"/>
          <w:highlight w:val="none"/>
        </w:rPr>
      </w:pPr>
    </w:p>
    <w:p w14:paraId="7C55AB55">
      <w:pPr>
        <w:spacing w:line="360" w:lineRule="auto"/>
        <w:contextualSpacing/>
        <w:jc w:val="left"/>
        <w:rPr>
          <w:rFonts w:hint="eastAsia" w:ascii="宋体" w:hAnsi="宋体" w:eastAsia="宋体" w:cs="宋体"/>
          <w:sz w:val="21"/>
          <w:szCs w:val="21"/>
          <w:highlight w:val="none"/>
        </w:rPr>
      </w:pPr>
    </w:p>
    <w:p w14:paraId="255B1D56">
      <w:pPr>
        <w:spacing w:line="360" w:lineRule="auto"/>
        <w:contextualSpacing/>
        <w:jc w:val="left"/>
        <w:rPr>
          <w:rFonts w:hint="eastAsia" w:ascii="宋体" w:hAnsi="宋体" w:eastAsia="宋体" w:cs="宋体"/>
          <w:sz w:val="21"/>
          <w:szCs w:val="21"/>
          <w:highlight w:val="none"/>
        </w:rPr>
      </w:pPr>
    </w:p>
    <w:p w14:paraId="4682DF2B">
      <w:pPr>
        <w:spacing w:line="360" w:lineRule="auto"/>
        <w:contextualSpacing/>
        <w:jc w:val="left"/>
        <w:rPr>
          <w:rFonts w:hint="eastAsia" w:ascii="宋体" w:hAnsi="宋体" w:eastAsia="宋体" w:cs="宋体"/>
          <w:sz w:val="21"/>
          <w:szCs w:val="21"/>
          <w:highlight w:val="none"/>
        </w:rPr>
      </w:pPr>
    </w:p>
    <w:p w14:paraId="7E443BCA">
      <w:pPr>
        <w:spacing w:line="360" w:lineRule="auto"/>
        <w:contextualSpacing/>
        <w:jc w:val="left"/>
        <w:rPr>
          <w:rFonts w:hint="eastAsia" w:ascii="宋体" w:hAnsi="宋体" w:eastAsia="宋体" w:cs="宋体"/>
          <w:sz w:val="21"/>
          <w:szCs w:val="21"/>
          <w:highlight w:val="none"/>
        </w:rPr>
      </w:pPr>
    </w:p>
    <w:p w14:paraId="01DC7B3D">
      <w:pPr>
        <w:spacing w:line="360" w:lineRule="auto"/>
        <w:contextualSpacing/>
        <w:jc w:val="left"/>
        <w:rPr>
          <w:rFonts w:hint="eastAsia" w:ascii="宋体" w:hAnsi="宋体" w:eastAsia="宋体" w:cs="宋体"/>
          <w:sz w:val="21"/>
          <w:szCs w:val="21"/>
          <w:highlight w:val="none"/>
        </w:rPr>
      </w:pPr>
    </w:p>
    <w:p w14:paraId="0F09AA59">
      <w:pPr>
        <w:spacing w:line="360" w:lineRule="auto"/>
        <w:ind w:right="480" w:firstLine="1890" w:firstLineChars="900"/>
        <w:contextualSpacing/>
        <w:rPr>
          <w:rFonts w:hint="eastAsia" w:ascii="宋体" w:hAnsi="宋体" w:eastAsia="宋体" w:cs="宋体"/>
          <w:sz w:val="21"/>
          <w:szCs w:val="21"/>
          <w:highlight w:val="none"/>
          <w:u w:val="single"/>
        </w:rPr>
      </w:pPr>
      <w:r>
        <w:rPr>
          <w:rFonts w:hint="eastAsia" w:ascii="宋体" w:hAnsi="宋体" w:eastAsia="宋体" w:cs="宋体"/>
          <w:sz w:val="21"/>
          <w:szCs w:val="21"/>
          <w:highlight w:val="none"/>
        </w:rPr>
        <w:t>法定代表人或者委托代理人签字：</w:t>
      </w:r>
      <w:r>
        <w:rPr>
          <w:rFonts w:hint="eastAsia" w:ascii="宋体" w:hAnsi="宋体" w:eastAsia="宋体" w:cs="宋体"/>
          <w:sz w:val="21"/>
          <w:szCs w:val="21"/>
          <w:highlight w:val="none"/>
          <w:u w:val="single"/>
        </w:rPr>
        <w:t xml:space="preserve">               </w:t>
      </w:r>
    </w:p>
    <w:p w14:paraId="43722C80">
      <w:pPr>
        <w:spacing w:line="360" w:lineRule="auto"/>
        <w:ind w:right="480" w:firstLine="2940" w:firstLineChars="1400"/>
        <w:contextualSpacing/>
        <w:rPr>
          <w:rFonts w:hint="eastAsia" w:ascii="宋体" w:hAnsi="宋体" w:eastAsia="宋体" w:cs="宋体"/>
          <w:sz w:val="21"/>
          <w:szCs w:val="21"/>
          <w:highlight w:val="none"/>
        </w:rPr>
      </w:pPr>
      <w:r>
        <w:rPr>
          <w:rFonts w:hint="eastAsia" w:ascii="宋体" w:hAnsi="宋体" w:eastAsia="宋体" w:cs="宋体"/>
          <w:sz w:val="21"/>
          <w:szCs w:val="21"/>
          <w:highlight w:val="none"/>
        </w:rPr>
        <w:t>供应商（盖公章）：</w:t>
      </w:r>
      <w:r>
        <w:rPr>
          <w:rFonts w:hint="eastAsia" w:ascii="宋体" w:hAnsi="宋体" w:eastAsia="宋体" w:cs="宋体"/>
          <w:sz w:val="21"/>
          <w:szCs w:val="21"/>
          <w:highlight w:val="none"/>
          <w:u w:val="single"/>
        </w:rPr>
        <w:t xml:space="preserve">                </w:t>
      </w:r>
    </w:p>
    <w:p w14:paraId="79C64C91">
      <w:pPr>
        <w:spacing w:line="360" w:lineRule="auto"/>
        <w:ind w:right="480" w:firstLine="210" w:firstLineChars="100"/>
        <w:contextualSpacing/>
        <w:jc w:val="center"/>
        <w:rPr>
          <w:rFonts w:hint="eastAsia" w:ascii="宋体" w:hAnsi="宋体" w:eastAsia="宋体" w:cs="宋体"/>
          <w:sz w:val="21"/>
          <w:szCs w:val="21"/>
          <w:highlight w:val="none"/>
        </w:rPr>
      </w:pPr>
      <w:r>
        <w:rPr>
          <w:rFonts w:hint="eastAsia" w:ascii="宋体" w:hAnsi="宋体" w:eastAsia="宋体" w:cs="宋体"/>
          <w:sz w:val="21"/>
          <w:szCs w:val="21"/>
          <w:highlight w:val="none"/>
        </w:rPr>
        <w:t xml:space="preserve">                                        年    月    日</w:t>
      </w:r>
    </w:p>
    <w:p w14:paraId="44BF7F0E">
      <w:pPr>
        <w:rPr>
          <w:b/>
          <w:bCs/>
          <w:highlight w:val="none"/>
        </w:rPr>
      </w:pPr>
      <w:r>
        <w:rPr>
          <w:rFonts w:ascii="宋体" w:hAnsi="宋体"/>
          <w:sz w:val="28"/>
          <w:szCs w:val="28"/>
          <w:highlight w:val="none"/>
        </w:rPr>
        <w:br w:type="page"/>
      </w:r>
      <w:r>
        <w:rPr>
          <w:rFonts w:hint="eastAsia"/>
          <w:b/>
          <w:bCs/>
          <w:highlight w:val="none"/>
          <w:lang w:val="en-US" w:eastAsia="zh-CN"/>
        </w:rPr>
        <w:t>3.</w:t>
      </w:r>
      <w:r>
        <w:rPr>
          <w:rFonts w:hint="eastAsia"/>
          <w:b/>
          <w:bCs/>
          <w:highlight w:val="none"/>
          <w:lang w:eastAsia="zh-CN"/>
        </w:rPr>
        <w:t>竞标</w:t>
      </w:r>
      <w:r>
        <w:rPr>
          <w:b/>
          <w:bCs/>
          <w:highlight w:val="none"/>
        </w:rPr>
        <w:t>承诺函（格式）（必须提供）</w:t>
      </w:r>
    </w:p>
    <w:p w14:paraId="07C212F8">
      <w:pPr>
        <w:spacing w:line="240" w:lineRule="exact"/>
        <w:jc w:val="center"/>
        <w:rPr>
          <w:sz w:val="32"/>
          <w:szCs w:val="32"/>
          <w:highlight w:val="none"/>
        </w:rPr>
      </w:pPr>
    </w:p>
    <w:p w14:paraId="7FDDA140">
      <w:pPr>
        <w:spacing w:line="400" w:lineRule="exact"/>
        <w:rPr>
          <w:highlight w:val="none"/>
        </w:rPr>
      </w:pPr>
      <w:r>
        <w:rPr>
          <w:highlight w:val="none"/>
        </w:rPr>
        <w:t>致：</w:t>
      </w:r>
      <w:r>
        <w:rPr>
          <w:highlight w:val="none"/>
          <w:u w:val="single"/>
        </w:rPr>
        <w:t xml:space="preserve">桂林银行股份有限公司 </w:t>
      </w:r>
    </w:p>
    <w:p w14:paraId="56BBA74A">
      <w:pPr>
        <w:spacing w:line="400" w:lineRule="exact"/>
        <w:ind w:firstLine="420"/>
        <w:rPr>
          <w:highlight w:val="none"/>
        </w:rPr>
      </w:pPr>
      <w:r>
        <w:rPr>
          <w:highlight w:val="none"/>
        </w:rPr>
        <w:t>根据贵行</w:t>
      </w:r>
      <w:r>
        <w:rPr>
          <w:highlight w:val="none"/>
          <w:u w:val="single"/>
        </w:rPr>
        <w:t xml:space="preserve"> </w:t>
      </w:r>
      <w:r>
        <w:rPr>
          <w:rFonts w:hint="eastAsia"/>
          <w:highlight w:val="none"/>
          <w:u w:val="single"/>
        </w:rPr>
        <w:t>桂林银行采购洗钱风险自评估咨询项目</w:t>
      </w:r>
      <w:r>
        <w:rPr>
          <w:highlight w:val="none"/>
          <w:u w:val="single"/>
        </w:rPr>
        <w:t xml:space="preserve"> </w:t>
      </w:r>
      <w:r>
        <w:rPr>
          <w:highlight w:val="none"/>
        </w:rPr>
        <w:t>磋商文件，项目编号</w:t>
      </w:r>
      <w:r>
        <w:rPr>
          <w:highlight w:val="none"/>
          <w:u w:val="single"/>
        </w:rPr>
        <w:t xml:space="preserve"> </w:t>
      </w:r>
      <w:r>
        <w:rPr>
          <w:rFonts w:hint="eastAsia"/>
          <w:highlight w:val="none"/>
          <w:u w:val="single"/>
        </w:rPr>
        <w:t>GYJC202</w:t>
      </w:r>
      <w:r>
        <w:rPr>
          <w:rFonts w:hint="eastAsia"/>
          <w:highlight w:val="none"/>
          <w:u w:val="single"/>
          <w:lang w:val="en-US" w:eastAsia="zh-CN"/>
        </w:rPr>
        <w:t xml:space="preserve">5155 </w:t>
      </w:r>
      <w:r>
        <w:rPr>
          <w:highlight w:val="none"/>
        </w:rPr>
        <w:t>，签字代表</w:t>
      </w:r>
      <w:r>
        <w:rPr>
          <w:highlight w:val="none"/>
          <w:u w:val="single"/>
        </w:rPr>
        <w:t xml:space="preserve">          </w:t>
      </w:r>
      <w:r>
        <w:rPr>
          <w:highlight w:val="none"/>
        </w:rPr>
        <w:t>（姓名）经正式授权并代表</w:t>
      </w:r>
      <w:r>
        <w:rPr>
          <w:rFonts w:hint="eastAsia"/>
          <w:highlight w:val="none"/>
          <w:lang w:eastAsia="zh-CN"/>
        </w:rPr>
        <w:t>供应商</w:t>
      </w:r>
      <w:r>
        <w:rPr>
          <w:highlight w:val="none"/>
          <w:u w:val="single"/>
        </w:rPr>
        <w:t xml:space="preserve">         （</w:t>
      </w:r>
      <w:r>
        <w:rPr>
          <w:highlight w:val="none"/>
        </w:rPr>
        <w:t>单位名称），提交响应文件正本一份。</w:t>
      </w:r>
    </w:p>
    <w:p w14:paraId="7B863353">
      <w:pPr>
        <w:spacing w:line="400" w:lineRule="exact"/>
        <w:ind w:firstLine="420"/>
        <w:rPr>
          <w:highlight w:val="none"/>
        </w:rPr>
      </w:pPr>
      <w:r>
        <w:rPr>
          <w:highlight w:val="none"/>
        </w:rPr>
        <w:t>据此函，签字代表宣布同意如下：</w:t>
      </w:r>
    </w:p>
    <w:p w14:paraId="0EEBA052">
      <w:pPr>
        <w:spacing w:line="400" w:lineRule="exact"/>
        <w:ind w:firstLine="420" w:firstLineChars="200"/>
        <w:rPr>
          <w:highlight w:val="none"/>
        </w:rPr>
      </w:pPr>
      <w:r>
        <w:rPr>
          <w:highlight w:val="none"/>
        </w:rPr>
        <w:t>1、我方承诺已具备磋商文件规定的</w:t>
      </w:r>
      <w:r>
        <w:rPr>
          <w:rFonts w:hint="eastAsia"/>
          <w:highlight w:val="none"/>
          <w:lang w:eastAsia="zh-CN"/>
        </w:rPr>
        <w:t>供应商</w:t>
      </w:r>
      <w:r>
        <w:rPr>
          <w:highlight w:val="none"/>
        </w:rPr>
        <w:t>资格条件。</w:t>
      </w:r>
    </w:p>
    <w:p w14:paraId="7F5F8759">
      <w:pPr>
        <w:spacing w:line="400" w:lineRule="exact"/>
        <w:ind w:firstLine="420" w:firstLineChars="200"/>
        <w:rPr>
          <w:highlight w:val="none"/>
        </w:rPr>
      </w:pPr>
      <w:r>
        <w:rPr>
          <w:highlight w:val="none"/>
        </w:rPr>
        <w:t>2、我方已详细审核磋商文件，包括修改文件（如有的话）和有关附件，将自行承担因对全部磋商文件理解不正确或误解而产生的相应后果。</w:t>
      </w:r>
    </w:p>
    <w:p w14:paraId="04251C0E">
      <w:pPr>
        <w:spacing w:line="400" w:lineRule="exact"/>
        <w:ind w:firstLine="420" w:firstLineChars="200"/>
        <w:rPr>
          <w:highlight w:val="none"/>
        </w:rPr>
      </w:pPr>
      <w:r>
        <w:rPr>
          <w:highlight w:val="none"/>
        </w:rPr>
        <w:t>3、如我方中标：</w:t>
      </w:r>
    </w:p>
    <w:p w14:paraId="457139BE">
      <w:pPr>
        <w:spacing w:line="400" w:lineRule="exact"/>
        <w:ind w:firstLine="420"/>
        <w:rPr>
          <w:highlight w:val="none"/>
        </w:rPr>
      </w:pPr>
      <w:r>
        <w:rPr>
          <w:highlight w:val="none"/>
        </w:rPr>
        <w:t>（1）我方承诺在收到合作通知书后，在合作通知书规定的期限内与采购人签订合同。</w:t>
      </w:r>
    </w:p>
    <w:p w14:paraId="49738076">
      <w:pPr>
        <w:spacing w:line="400" w:lineRule="exact"/>
        <w:ind w:firstLine="420"/>
        <w:rPr>
          <w:highlight w:val="none"/>
        </w:rPr>
      </w:pPr>
      <w:r>
        <w:rPr>
          <w:highlight w:val="none"/>
        </w:rPr>
        <w:t>（2）我方承诺按照磋商文件规定递交履约担保。</w:t>
      </w:r>
    </w:p>
    <w:p w14:paraId="11287A8C">
      <w:pPr>
        <w:spacing w:line="400" w:lineRule="exact"/>
        <w:ind w:firstLine="420"/>
        <w:rPr>
          <w:highlight w:val="none"/>
        </w:rPr>
      </w:pPr>
      <w:r>
        <w:rPr>
          <w:highlight w:val="none"/>
        </w:rPr>
        <w:t>（3）我方承诺本响应文件至本项目合同履行完毕止均保持有效，按磋商文件及政府采购法律、法规的规定履行合同责任和义务。</w:t>
      </w:r>
    </w:p>
    <w:p w14:paraId="7BB9E935">
      <w:pPr>
        <w:spacing w:line="400" w:lineRule="exact"/>
        <w:ind w:firstLine="420"/>
        <w:rPr>
          <w:highlight w:val="none"/>
        </w:rPr>
      </w:pPr>
      <w:r>
        <w:rPr>
          <w:highlight w:val="none"/>
        </w:rPr>
        <w:t>（4）我方郑重承诺：将全部满足磋商文件中的各项实质性要求，如果发现响应文件中另有与磋商文件中不一致的响应或没有响应，同意采购人有权要求</w:t>
      </w:r>
      <w:r>
        <w:rPr>
          <w:rFonts w:hint="eastAsia"/>
          <w:highlight w:val="none"/>
        </w:rPr>
        <w:t>我方</w:t>
      </w:r>
      <w:r>
        <w:rPr>
          <w:highlight w:val="none"/>
        </w:rPr>
        <w:t>按照磋商文件的要求提供设备或服务。</w:t>
      </w:r>
      <w:r>
        <w:rPr>
          <w:rFonts w:hint="eastAsia"/>
          <w:highlight w:val="none"/>
        </w:rPr>
        <w:t>我方</w:t>
      </w:r>
      <w:r>
        <w:rPr>
          <w:highlight w:val="none"/>
        </w:rPr>
        <w:t>并同意按照磋商文件的规定履行自己的责任和义务。</w:t>
      </w:r>
    </w:p>
    <w:p w14:paraId="7FEE7607">
      <w:pPr>
        <w:spacing w:line="400" w:lineRule="exact"/>
        <w:ind w:firstLine="420"/>
        <w:rPr>
          <w:highlight w:val="none"/>
        </w:rPr>
      </w:pPr>
      <w:r>
        <w:rPr>
          <w:highlight w:val="none"/>
        </w:rPr>
        <w:t>（5）我方已详细审查全部磋商文件，包括修改文件（如有的话）以及全部参考资料和有关附件。我们完全理解并同意放弃对这方面有不明及误解的权利。</w:t>
      </w:r>
    </w:p>
    <w:p w14:paraId="6C4C2E82">
      <w:pPr>
        <w:spacing w:line="400" w:lineRule="exact"/>
        <w:ind w:firstLine="420"/>
        <w:rPr>
          <w:highlight w:val="none"/>
        </w:rPr>
      </w:pPr>
      <w:r>
        <w:rPr>
          <w:highlight w:val="none"/>
        </w:rPr>
        <w:t>（6）我方响应文件有效期为</w:t>
      </w:r>
      <w:r>
        <w:rPr>
          <w:rFonts w:hint="eastAsia"/>
          <w:highlight w:val="none"/>
          <w:lang w:eastAsia="zh-CN"/>
        </w:rPr>
        <w:t>竞标</w:t>
      </w:r>
      <w:r>
        <w:rPr>
          <w:highlight w:val="none"/>
        </w:rPr>
        <w:t>截止日期后</w:t>
      </w:r>
      <w:r>
        <w:rPr>
          <w:highlight w:val="none"/>
          <w:u w:val="single"/>
        </w:rPr>
        <w:t xml:space="preserve"> </w:t>
      </w:r>
      <w:r>
        <w:rPr>
          <w:rFonts w:hint="eastAsia"/>
          <w:highlight w:val="none"/>
          <w:u w:val="single"/>
        </w:rPr>
        <w:t>60</w:t>
      </w:r>
      <w:r>
        <w:rPr>
          <w:highlight w:val="none"/>
          <w:u w:val="single"/>
        </w:rPr>
        <w:t xml:space="preserve"> </w:t>
      </w:r>
      <w:r>
        <w:rPr>
          <w:highlight w:val="none"/>
        </w:rPr>
        <w:t>日历天，在</w:t>
      </w:r>
      <w:r>
        <w:rPr>
          <w:rFonts w:hint="eastAsia"/>
          <w:highlight w:val="none"/>
          <w:lang w:eastAsia="zh-CN"/>
        </w:rPr>
        <w:t>竞标</w:t>
      </w:r>
      <w:r>
        <w:rPr>
          <w:highlight w:val="none"/>
        </w:rPr>
        <w:t>有效期内不撤销</w:t>
      </w:r>
      <w:r>
        <w:rPr>
          <w:rFonts w:hint="eastAsia"/>
          <w:highlight w:val="none"/>
          <w:lang w:val="en-US" w:eastAsia="zh-CN"/>
        </w:rPr>
        <w:t>响应</w:t>
      </w:r>
      <w:r>
        <w:rPr>
          <w:highlight w:val="none"/>
        </w:rPr>
        <w:t>文件</w:t>
      </w:r>
      <w:r>
        <w:rPr>
          <w:rFonts w:hint="eastAsia"/>
          <w:highlight w:val="none"/>
        </w:rPr>
        <w:t>，若我方中标则响应文件有效期自响应文件提交截止之日起至合履行完毕止均应保持有效</w:t>
      </w:r>
      <w:r>
        <w:rPr>
          <w:highlight w:val="none"/>
        </w:rPr>
        <w:t>。</w:t>
      </w:r>
    </w:p>
    <w:p w14:paraId="3BF08385">
      <w:pPr>
        <w:spacing w:line="400" w:lineRule="exact"/>
        <w:ind w:firstLine="420"/>
        <w:rPr>
          <w:highlight w:val="none"/>
        </w:rPr>
      </w:pPr>
      <w:r>
        <w:rPr>
          <w:highlight w:val="none"/>
        </w:rPr>
        <w:t>与本磋商有关的正式通讯地址为：</w:t>
      </w:r>
    </w:p>
    <w:p w14:paraId="33D27775">
      <w:pPr>
        <w:spacing w:line="400" w:lineRule="exact"/>
        <w:ind w:firstLine="420"/>
        <w:rPr>
          <w:highlight w:val="none"/>
          <w:u w:val="single"/>
        </w:rPr>
      </w:pPr>
      <w:r>
        <w:rPr>
          <w:highlight w:val="none"/>
        </w:rPr>
        <w:t>地址：邮编：电话、传真：</w:t>
      </w:r>
    </w:p>
    <w:p w14:paraId="37EE61EA">
      <w:pPr>
        <w:spacing w:line="400" w:lineRule="exact"/>
        <w:ind w:firstLine="420"/>
        <w:rPr>
          <w:highlight w:val="none"/>
        </w:rPr>
      </w:pPr>
      <w:r>
        <w:rPr>
          <w:highlight w:val="none"/>
        </w:rPr>
        <w:t>开户名称：</w:t>
      </w:r>
      <w:r>
        <w:rPr>
          <w:highlight w:val="none"/>
          <w:u w:val="single"/>
        </w:rPr>
        <w:t xml:space="preserve">               </w:t>
      </w:r>
    </w:p>
    <w:p w14:paraId="37868321">
      <w:pPr>
        <w:spacing w:line="400" w:lineRule="exact"/>
        <w:ind w:firstLine="420"/>
        <w:rPr>
          <w:highlight w:val="none"/>
        </w:rPr>
      </w:pPr>
      <w:r>
        <w:rPr>
          <w:highlight w:val="none"/>
        </w:rPr>
        <w:t>开户银行：</w:t>
      </w:r>
      <w:r>
        <w:rPr>
          <w:highlight w:val="none"/>
          <w:u w:val="single"/>
        </w:rPr>
        <w:t xml:space="preserve">             </w:t>
      </w:r>
    </w:p>
    <w:p w14:paraId="6CDA6215">
      <w:pPr>
        <w:spacing w:line="400" w:lineRule="exact"/>
        <w:ind w:firstLine="420"/>
        <w:rPr>
          <w:highlight w:val="none"/>
        </w:rPr>
      </w:pPr>
      <w:r>
        <w:rPr>
          <w:highlight w:val="none"/>
        </w:rPr>
        <w:t>账号：</w:t>
      </w:r>
      <w:r>
        <w:rPr>
          <w:highlight w:val="none"/>
          <w:u w:val="single"/>
        </w:rPr>
        <w:t xml:space="preserve">             </w:t>
      </w:r>
    </w:p>
    <w:p w14:paraId="228CEEAA">
      <w:pPr>
        <w:spacing w:line="400" w:lineRule="exact"/>
        <w:ind w:firstLine="420"/>
        <w:rPr>
          <w:highlight w:val="none"/>
        </w:rPr>
      </w:pPr>
      <w:r>
        <w:rPr>
          <w:rFonts w:hint="eastAsia"/>
          <w:highlight w:val="none"/>
          <w:lang w:eastAsia="zh-CN"/>
        </w:rPr>
        <w:t>供应商</w:t>
      </w:r>
      <w:r>
        <w:rPr>
          <w:highlight w:val="none"/>
        </w:rPr>
        <w:t>（公章）：</w:t>
      </w:r>
      <w:r>
        <w:rPr>
          <w:highlight w:val="none"/>
          <w:u w:val="single"/>
        </w:rPr>
        <w:t xml:space="preserve">          </w:t>
      </w:r>
    </w:p>
    <w:p w14:paraId="1D4E55DC">
      <w:pPr>
        <w:spacing w:line="400" w:lineRule="exact"/>
        <w:ind w:firstLine="420"/>
        <w:rPr>
          <w:highlight w:val="none"/>
          <w:u w:val="single"/>
        </w:rPr>
      </w:pPr>
      <w:r>
        <w:rPr>
          <w:highlight w:val="none"/>
        </w:rPr>
        <w:t>法定代表人</w:t>
      </w:r>
      <w:r>
        <w:rPr>
          <w:rFonts w:hint="eastAsia"/>
          <w:highlight w:val="none"/>
        </w:rPr>
        <w:t>（</w:t>
      </w:r>
      <w:r>
        <w:rPr>
          <w:highlight w:val="none"/>
        </w:rPr>
        <w:t>签</w:t>
      </w:r>
      <w:r>
        <w:rPr>
          <w:rFonts w:hint="eastAsia"/>
          <w:highlight w:val="none"/>
        </w:rPr>
        <w:t>字或签章）</w:t>
      </w:r>
      <w:r>
        <w:rPr>
          <w:highlight w:val="none"/>
        </w:rPr>
        <w:t>：</w:t>
      </w:r>
    </w:p>
    <w:p w14:paraId="1F27C491">
      <w:pPr>
        <w:spacing w:line="400" w:lineRule="exact"/>
        <w:ind w:firstLine="420"/>
        <w:rPr>
          <w:highlight w:val="none"/>
        </w:rPr>
      </w:pPr>
      <w:r>
        <w:rPr>
          <w:highlight w:val="none"/>
        </w:rPr>
        <w:t>磋商日期：</w:t>
      </w:r>
    </w:p>
    <w:p w14:paraId="0C11256F">
      <w:pPr>
        <w:spacing w:line="400" w:lineRule="exact"/>
        <w:ind w:firstLine="420" w:firstLineChars="200"/>
        <w:rPr>
          <w:highlight w:val="none"/>
        </w:rPr>
      </w:pPr>
      <w:r>
        <w:rPr>
          <w:highlight w:val="none"/>
        </w:rPr>
        <w:t>注：未按照本报价函（格式）要求填报的报价函将被视为非实质性响应磋商要求，从而导致该磋商被拒绝。</w:t>
      </w:r>
    </w:p>
    <w:p w14:paraId="6423573A">
      <w:pPr>
        <w:pStyle w:val="4"/>
        <w:jc w:val="center"/>
        <w:rPr>
          <w:rFonts w:ascii="Times New Roman" w:hAnsi="Times New Roman" w:eastAsia="宋体" w:cs="Times New Roman"/>
          <w:bCs w:val="0"/>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p w14:paraId="7E635FAD">
      <w:pPr>
        <w:pStyle w:val="4"/>
        <w:spacing w:line="400" w:lineRule="exact"/>
        <w:rPr>
          <w:rFonts w:ascii="Times New Roman" w:hAnsi="Times New Roman" w:eastAsia="宋体" w:cs="Times New Roman"/>
          <w:bCs w:val="0"/>
          <w:kern w:val="0"/>
          <w:sz w:val="21"/>
          <w:szCs w:val="21"/>
          <w:highlight w:val="none"/>
        </w:rPr>
      </w:pPr>
      <w:r>
        <w:rPr>
          <w:rFonts w:hint="eastAsia" w:ascii="Times New Roman" w:hAnsi="Times New Roman" w:eastAsia="宋体" w:cs="Times New Roman"/>
          <w:bCs w:val="0"/>
          <w:kern w:val="0"/>
          <w:sz w:val="21"/>
          <w:szCs w:val="21"/>
          <w:highlight w:val="none"/>
          <w:lang w:val="en-US" w:eastAsia="zh-CN"/>
        </w:rPr>
        <w:t>4.</w:t>
      </w:r>
      <w:r>
        <w:rPr>
          <w:rFonts w:ascii="Times New Roman" w:hAnsi="Times New Roman" w:eastAsia="宋体" w:cs="Times New Roman"/>
          <w:bCs w:val="0"/>
          <w:kern w:val="0"/>
          <w:sz w:val="21"/>
          <w:szCs w:val="21"/>
          <w:highlight w:val="none"/>
        </w:rPr>
        <w:t>报价表（必须提供）</w:t>
      </w:r>
    </w:p>
    <w:p w14:paraId="3F881CDA">
      <w:pPr>
        <w:pStyle w:val="15"/>
        <w:spacing w:line="400" w:lineRule="exact"/>
        <w:jc w:val="center"/>
        <w:rPr>
          <w:sz w:val="24"/>
          <w:szCs w:val="24"/>
          <w:highlight w:val="none"/>
        </w:rPr>
      </w:pPr>
      <w:r>
        <w:rPr>
          <w:b/>
          <w:kern w:val="0"/>
          <w:highlight w:val="none"/>
        </w:rPr>
        <w:t>报价表</w:t>
      </w:r>
    </w:p>
    <w:p w14:paraId="6A814863">
      <w:pPr>
        <w:pStyle w:val="15"/>
        <w:spacing w:line="400" w:lineRule="exact"/>
        <w:rPr>
          <w:sz w:val="24"/>
          <w:szCs w:val="24"/>
          <w:highlight w:val="none"/>
        </w:rPr>
      </w:pPr>
      <w:r>
        <w:rPr>
          <w:rFonts w:hint="eastAsia"/>
          <w:sz w:val="24"/>
          <w:szCs w:val="24"/>
          <w:highlight w:val="none"/>
          <w:lang w:eastAsia="zh-CN"/>
        </w:rPr>
        <w:t>竞标</w:t>
      </w:r>
      <w:r>
        <w:rPr>
          <w:sz w:val="24"/>
          <w:szCs w:val="24"/>
          <w:highlight w:val="none"/>
        </w:rPr>
        <w:t>单位名称：</w:t>
      </w:r>
    </w:p>
    <w:p w14:paraId="7C88A6B8">
      <w:pPr>
        <w:pStyle w:val="15"/>
        <w:spacing w:line="400" w:lineRule="exact"/>
        <w:rPr>
          <w:sz w:val="24"/>
          <w:szCs w:val="24"/>
          <w:highlight w:val="none"/>
        </w:rPr>
      </w:pPr>
      <w:r>
        <w:rPr>
          <w:sz w:val="24"/>
          <w:szCs w:val="24"/>
          <w:highlight w:val="none"/>
        </w:rPr>
        <w:t>项目名称：</w:t>
      </w:r>
      <w:r>
        <w:rPr>
          <w:rFonts w:hint="eastAsia"/>
          <w:sz w:val="24"/>
          <w:szCs w:val="24"/>
          <w:highlight w:val="none"/>
        </w:rPr>
        <w:t>桂林银行采购洗钱风险自评估咨询项目</w:t>
      </w:r>
    </w:p>
    <w:p w14:paraId="6BBAD6CF">
      <w:pPr>
        <w:pStyle w:val="15"/>
        <w:spacing w:line="400" w:lineRule="exact"/>
        <w:rPr>
          <w:rFonts w:hint="default" w:eastAsia="宋体"/>
          <w:sz w:val="24"/>
          <w:szCs w:val="24"/>
          <w:highlight w:val="none"/>
          <w:lang w:val="en-US" w:eastAsia="zh-CN"/>
        </w:rPr>
      </w:pPr>
      <w:r>
        <w:rPr>
          <w:sz w:val="24"/>
          <w:szCs w:val="24"/>
          <w:highlight w:val="none"/>
        </w:rPr>
        <w:t>项目编号：GYJC20</w:t>
      </w:r>
      <w:r>
        <w:rPr>
          <w:rFonts w:hint="eastAsia"/>
          <w:sz w:val="24"/>
          <w:szCs w:val="24"/>
          <w:highlight w:val="none"/>
          <w:lang w:val="en-US" w:eastAsia="zh-CN"/>
        </w:rPr>
        <w:t>25155</w:t>
      </w:r>
    </w:p>
    <w:tbl>
      <w:tblPr>
        <w:tblStyle w:val="42"/>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1987"/>
        <w:gridCol w:w="1333"/>
        <w:gridCol w:w="2668"/>
        <w:gridCol w:w="2832"/>
      </w:tblGrid>
      <w:tr w14:paraId="2AF2687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54EB6FCD">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1987" w:type="dxa"/>
            <w:shd w:val="clear" w:color="000000" w:fill="auto"/>
            <w:vAlign w:val="center"/>
          </w:tcPr>
          <w:p w14:paraId="197C1A5B">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1333" w:type="dxa"/>
            <w:shd w:val="clear" w:color="000000" w:fill="auto"/>
            <w:vAlign w:val="center"/>
          </w:tcPr>
          <w:p w14:paraId="5C6F0297">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数量/单位</w:t>
            </w:r>
          </w:p>
        </w:tc>
        <w:tc>
          <w:tcPr>
            <w:tcW w:w="2668" w:type="dxa"/>
            <w:shd w:val="clear" w:color="000000" w:fill="auto"/>
            <w:vAlign w:val="center"/>
          </w:tcPr>
          <w:p w14:paraId="2AD87525">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lang w:val="en-US" w:eastAsia="zh-CN"/>
              </w:rPr>
              <w:t>响应单价</w:t>
            </w:r>
            <w:r>
              <w:rPr>
                <w:rFonts w:hint="eastAsia" w:asciiTheme="minorEastAsia" w:hAnsiTheme="minorEastAsia" w:eastAsiaTheme="minorEastAsia" w:cstheme="minorEastAsia"/>
                <w:spacing w:val="-1"/>
                <w:sz w:val="24"/>
                <w:szCs w:val="24"/>
                <w:highlight w:val="none"/>
              </w:rPr>
              <w:t>（元）（含税）</w:t>
            </w:r>
          </w:p>
        </w:tc>
        <w:tc>
          <w:tcPr>
            <w:tcW w:w="2832" w:type="dxa"/>
            <w:shd w:val="clear" w:color="000000" w:fill="auto"/>
            <w:vAlign w:val="center"/>
          </w:tcPr>
          <w:p w14:paraId="6091B5F5">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rPr>
              <w:t>备注（报价说明）</w:t>
            </w:r>
          </w:p>
        </w:tc>
      </w:tr>
      <w:tr w14:paraId="390DC3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375DFF4C">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1987" w:type="dxa"/>
            <w:vAlign w:val="center"/>
          </w:tcPr>
          <w:p w14:paraId="6E0E8036">
            <w:pPr>
              <w:pStyle w:val="36"/>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spacing w:val="-1"/>
                <w:sz w:val="24"/>
                <w:szCs w:val="24"/>
                <w:highlight w:val="none"/>
                <w:lang w:val="en-US" w:eastAsia="zh-CN"/>
              </w:rPr>
            </w:pPr>
            <w:r>
              <w:rPr>
                <w:rFonts w:hint="eastAsia"/>
                <w:sz w:val="24"/>
                <w:szCs w:val="24"/>
                <w:highlight w:val="none"/>
              </w:rPr>
              <w:t>洗钱风险自评估咨询</w:t>
            </w:r>
          </w:p>
        </w:tc>
        <w:tc>
          <w:tcPr>
            <w:tcW w:w="1333" w:type="dxa"/>
            <w:vAlign w:val="center"/>
          </w:tcPr>
          <w:p w14:paraId="306CEEA4">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1</w:t>
            </w:r>
          </w:p>
        </w:tc>
        <w:tc>
          <w:tcPr>
            <w:tcW w:w="2668" w:type="dxa"/>
            <w:vAlign w:val="center"/>
          </w:tcPr>
          <w:p w14:paraId="55693DD6">
            <w:pPr>
              <w:widowControl/>
              <w:spacing w:line="380" w:lineRule="exact"/>
              <w:jc w:val="center"/>
              <w:rPr>
                <w:rFonts w:asciiTheme="minorEastAsia" w:hAnsiTheme="minorEastAsia" w:eastAsiaTheme="minorEastAsia" w:cstheme="minorEastAsia"/>
                <w:spacing w:val="-1"/>
                <w:sz w:val="24"/>
                <w:szCs w:val="24"/>
                <w:highlight w:val="none"/>
              </w:rPr>
            </w:pPr>
          </w:p>
        </w:tc>
        <w:tc>
          <w:tcPr>
            <w:tcW w:w="2832" w:type="dxa"/>
            <w:vAlign w:val="center"/>
          </w:tcPr>
          <w:p w14:paraId="70823DBA">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p>
        </w:tc>
      </w:tr>
      <w:tr w14:paraId="7168FDC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5"/>
            <w:vAlign w:val="center"/>
          </w:tcPr>
          <w:p w14:paraId="2F642D7D">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eastAsia="宋体" w:cs="宋体"/>
                <w:color w:val="auto"/>
                <w:sz w:val="24"/>
                <w:szCs w:val="24"/>
                <w:highlight w:val="none"/>
              </w:rPr>
              <w:t>合计金额小写：¥          （大写：人民币                     ）</w:t>
            </w:r>
          </w:p>
        </w:tc>
      </w:tr>
      <w:tr w14:paraId="57A50A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785" w:type="dxa"/>
            <w:gridSpan w:val="2"/>
            <w:vAlign w:val="center"/>
          </w:tcPr>
          <w:p w14:paraId="11BA6840">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交货期</w:t>
            </w:r>
          </w:p>
        </w:tc>
        <w:tc>
          <w:tcPr>
            <w:tcW w:w="6833" w:type="dxa"/>
            <w:gridSpan w:val="3"/>
            <w:vAlign w:val="center"/>
          </w:tcPr>
          <w:p w14:paraId="47A22DA1">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r w14:paraId="37D835A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2785" w:type="dxa"/>
            <w:gridSpan w:val="2"/>
            <w:vAlign w:val="center"/>
          </w:tcPr>
          <w:p w14:paraId="126F62BC">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其  他</w:t>
            </w:r>
          </w:p>
        </w:tc>
        <w:tc>
          <w:tcPr>
            <w:tcW w:w="6833" w:type="dxa"/>
            <w:gridSpan w:val="3"/>
            <w:vAlign w:val="center"/>
          </w:tcPr>
          <w:p w14:paraId="466679C5">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bl>
    <w:p w14:paraId="7A0FA9D3">
      <w:pPr>
        <w:pStyle w:val="25"/>
        <w:spacing w:line="360" w:lineRule="exact"/>
        <w:rPr>
          <w:rFonts w:ascii="Times New Roman" w:hAnsi="Times New Roman" w:eastAsia="宋体" w:cs="Times New Roman"/>
          <w:b/>
          <w:bCs/>
          <w:highlight w:val="none"/>
        </w:rPr>
      </w:pPr>
    </w:p>
    <w:p w14:paraId="6C1C7727">
      <w:pPr>
        <w:pStyle w:val="25"/>
        <w:spacing w:line="360" w:lineRule="exact"/>
        <w:rPr>
          <w:rFonts w:ascii="Times New Roman" w:hAnsi="Times New Roman" w:eastAsia="宋体" w:cs="Times New Roman"/>
          <w:highlight w:val="none"/>
        </w:rPr>
      </w:pPr>
      <w:r>
        <w:rPr>
          <w:rFonts w:ascii="Times New Roman" w:hAnsi="Times New Roman" w:eastAsia="宋体" w:cs="Times New Roman"/>
          <w:b/>
          <w:bCs/>
          <w:highlight w:val="none"/>
        </w:rPr>
        <w:t>此表可根据自身需要编辑</w:t>
      </w:r>
    </w:p>
    <w:p w14:paraId="61A000E3">
      <w:pPr>
        <w:spacing w:line="400" w:lineRule="exact"/>
        <w:rPr>
          <w:highlight w:val="none"/>
          <w:u w:val="single"/>
        </w:rPr>
      </w:pPr>
      <w:r>
        <w:rPr>
          <w:rFonts w:hint="eastAsia"/>
          <w:highlight w:val="none"/>
          <w:lang w:eastAsia="zh-CN"/>
        </w:rPr>
        <w:t>供应商</w:t>
      </w:r>
      <w:r>
        <w:rPr>
          <w:highlight w:val="none"/>
        </w:rPr>
        <w:t>（公章）：</w:t>
      </w:r>
    </w:p>
    <w:p w14:paraId="6E995A8D">
      <w:pPr>
        <w:spacing w:line="400" w:lineRule="exact"/>
        <w:rPr>
          <w:highlight w:val="none"/>
          <w:u w:val="singl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w:t>
      </w:r>
    </w:p>
    <w:p w14:paraId="50A59BEC">
      <w:pPr>
        <w:spacing w:line="400" w:lineRule="exact"/>
        <w:rPr>
          <w:highlight w:val="none"/>
        </w:rPr>
      </w:pPr>
      <w:r>
        <w:rPr>
          <w:highlight w:val="none"/>
        </w:rPr>
        <w:t>日期：</w:t>
      </w:r>
    </w:p>
    <w:p w14:paraId="6D352340">
      <w:pPr>
        <w:spacing w:line="400" w:lineRule="exact"/>
        <w:rPr>
          <w:highlight w:val="none"/>
        </w:rPr>
      </w:pPr>
    </w:p>
    <w:p w14:paraId="3749CFC8">
      <w:pPr>
        <w:spacing w:line="400" w:lineRule="exact"/>
        <w:rPr>
          <w:rFonts w:ascii="宋体" w:hAnsi="宋体" w:cs="宋体"/>
          <w:highlight w:val="none"/>
        </w:rPr>
      </w:pPr>
      <w:r>
        <w:rPr>
          <w:rFonts w:hint="eastAsia" w:ascii="宋体" w:hAnsi="宋体" w:cs="宋体"/>
          <w:highlight w:val="none"/>
        </w:rPr>
        <w:t>注：1.若此表由多页构成的，须逐页加盖</w:t>
      </w:r>
      <w:r>
        <w:rPr>
          <w:rFonts w:hint="eastAsia" w:ascii="宋体" w:hAnsi="宋体" w:cs="宋体"/>
          <w:highlight w:val="none"/>
          <w:lang w:eastAsia="zh-CN"/>
        </w:rPr>
        <w:t>供应商</w:t>
      </w:r>
      <w:r>
        <w:rPr>
          <w:rFonts w:hint="eastAsia" w:ascii="宋体" w:hAnsi="宋体" w:cs="宋体"/>
          <w:highlight w:val="none"/>
        </w:rPr>
        <w:t>公章，否则报价无效。</w:t>
      </w:r>
    </w:p>
    <w:p w14:paraId="3D4CA596">
      <w:pPr>
        <w:spacing w:line="400" w:lineRule="exact"/>
        <w:ind w:firstLine="420" w:firstLineChars="200"/>
        <w:rPr>
          <w:rFonts w:ascii="宋体" w:hAnsi="宋体" w:cs="宋体"/>
          <w:highlight w:val="none"/>
        </w:rPr>
      </w:pPr>
      <w:r>
        <w:rPr>
          <w:rFonts w:hint="eastAsia" w:ascii="宋体" w:hAnsi="宋体" w:cs="宋体"/>
          <w:highlight w:val="none"/>
        </w:rPr>
        <w:t>2</w:t>
      </w:r>
      <w:r>
        <w:rPr>
          <w:rFonts w:hint="eastAsia" w:ascii="宋体" w:hAnsi="宋体" w:eastAsia="宋体" w:cs="宋体"/>
          <w:highlight w:val="none"/>
        </w:rPr>
        <w:t>.</w:t>
      </w:r>
      <w:r>
        <w:rPr>
          <w:rFonts w:hint="eastAsia" w:ascii="宋体" w:hAnsi="宋体" w:eastAsia="宋体" w:cs="宋体"/>
          <w:kern w:val="0"/>
          <w:sz w:val="21"/>
          <w:szCs w:val="21"/>
          <w:highlight w:val="none"/>
        </w:rPr>
        <w:t>项目报价为完成所要求服务内容的全部价格（包含增值税税金</w:t>
      </w:r>
      <w:r>
        <w:rPr>
          <w:rFonts w:hint="eastAsia" w:ascii="宋体" w:hAnsi="宋体" w:eastAsia="宋体" w:cs="宋体"/>
          <w:kern w:val="0"/>
          <w:sz w:val="21"/>
          <w:szCs w:val="21"/>
          <w:highlight w:val="none"/>
          <w:lang w:eastAsia="zh-CN"/>
        </w:rPr>
        <w:t>、</w:t>
      </w:r>
      <w:r>
        <w:rPr>
          <w:rFonts w:hint="eastAsia" w:ascii="宋体" w:hAnsi="宋体" w:eastAsia="宋体" w:cs="宋体"/>
          <w:sz w:val="21"/>
          <w:szCs w:val="21"/>
          <w:highlight w:val="none"/>
        </w:rPr>
        <w:t>差旅费、咨询费、管理</w:t>
      </w:r>
      <w:r>
        <w:rPr>
          <w:rFonts w:hint="eastAsia" w:ascii="宋体" w:hAnsi="宋体" w:eastAsia="宋体" w:cs="宋体"/>
          <w:kern w:val="0"/>
          <w:sz w:val="21"/>
          <w:szCs w:val="21"/>
          <w:highlight w:val="none"/>
        </w:rPr>
        <w:t>费用等其他费用）</w:t>
      </w:r>
      <w:r>
        <w:rPr>
          <w:rFonts w:hint="eastAsia" w:ascii="宋体" w:hAnsi="宋体" w:eastAsia="宋体" w:cs="宋体"/>
          <w:sz w:val="21"/>
          <w:szCs w:val="21"/>
          <w:highlight w:val="none"/>
        </w:rPr>
        <w:t>，并开具增值税专用发票。在其它情况下，由于分项报价未填报或填报不完整、不清楚或存在其它任何失误，所导致的任何不利后果均应当由供应商自行承担</w:t>
      </w:r>
      <w:r>
        <w:rPr>
          <w:rFonts w:hint="eastAsia" w:ascii="宋体" w:hAnsi="宋体" w:eastAsia="宋体" w:cs="宋体"/>
          <w:highlight w:val="none"/>
        </w:rPr>
        <w:t>。</w:t>
      </w:r>
    </w:p>
    <w:p w14:paraId="3E8C0EE5">
      <w:pPr>
        <w:pStyle w:val="25"/>
        <w:spacing w:line="400" w:lineRule="exact"/>
        <w:ind w:firstLine="420" w:firstLineChars="200"/>
        <w:rPr>
          <w:rFonts w:hAnsi="宋体" w:eastAsia="宋体"/>
          <w:highlight w:val="none"/>
        </w:rPr>
      </w:pPr>
      <w:r>
        <w:rPr>
          <w:rFonts w:hint="eastAsia" w:hAnsi="宋体" w:eastAsia="宋体"/>
          <w:highlight w:val="none"/>
        </w:rPr>
        <w:t>3.</w:t>
      </w:r>
      <w:r>
        <w:rPr>
          <w:rFonts w:hint="eastAsia" w:hAnsi="宋体" w:eastAsia="宋体"/>
          <w:highlight w:val="none"/>
          <w:lang w:eastAsia="zh-CN"/>
        </w:rPr>
        <w:t>供应商</w:t>
      </w:r>
      <w:r>
        <w:rPr>
          <w:rFonts w:hint="eastAsia" w:hAnsi="宋体" w:eastAsia="宋体"/>
          <w:highlight w:val="none"/>
        </w:rPr>
        <w:t>必须就本项目需求中的采购内容作完整唯一报价，否则，其磋商将被拒绝。响应文件只允许有一个报价，有选择的或有条件的报价将不予接受。</w:t>
      </w:r>
    </w:p>
    <w:p w14:paraId="356E7EF5">
      <w:pPr>
        <w:pStyle w:val="36"/>
        <w:ind w:firstLine="420" w:firstLineChars="200"/>
        <w:rPr>
          <w:rFonts w:hint="default"/>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BDEB224">
      <w:pPr>
        <w:pStyle w:val="2"/>
        <w:spacing w:after="0" w:line="400" w:lineRule="exact"/>
        <w:rPr>
          <w:b/>
          <w:bCs/>
          <w:kern w:val="0"/>
          <w:highlight w:val="none"/>
        </w:rPr>
      </w:pPr>
      <w:r>
        <w:rPr>
          <w:rFonts w:hint="eastAsia"/>
          <w:b/>
          <w:bCs/>
          <w:kern w:val="0"/>
          <w:highlight w:val="none"/>
          <w:lang w:val="en-US" w:eastAsia="zh-CN"/>
        </w:rPr>
        <w:t>5.</w:t>
      </w:r>
      <w:r>
        <w:rPr>
          <w:b/>
          <w:bCs/>
          <w:highlight w:val="none"/>
        </w:rPr>
        <w:t>法定代表人（单位负责人）身份证明（</w:t>
      </w:r>
      <w:r>
        <w:rPr>
          <w:b/>
          <w:bCs/>
          <w:kern w:val="0"/>
          <w:highlight w:val="none"/>
        </w:rPr>
        <w:t>必须提供）</w:t>
      </w:r>
    </w:p>
    <w:p w14:paraId="1BC616E8">
      <w:pPr>
        <w:snapToGrid w:val="0"/>
        <w:spacing w:before="156" w:beforeLines="50" w:after="50" w:line="440" w:lineRule="exact"/>
        <w:jc w:val="center"/>
        <w:rPr>
          <w:b/>
          <w:highlight w:val="none"/>
        </w:rPr>
      </w:pPr>
    </w:p>
    <w:p w14:paraId="5CAF559A">
      <w:pPr>
        <w:snapToGrid w:val="0"/>
        <w:spacing w:before="156" w:beforeLines="50" w:after="50" w:line="440" w:lineRule="exact"/>
        <w:jc w:val="center"/>
        <w:rPr>
          <w:b/>
          <w:highlight w:val="none"/>
        </w:rPr>
      </w:pPr>
      <w:r>
        <w:rPr>
          <w:b/>
          <w:highlight w:val="none"/>
        </w:rPr>
        <w:t>法定代表人身份证明</w:t>
      </w:r>
    </w:p>
    <w:p w14:paraId="40E17729">
      <w:pPr>
        <w:spacing w:line="360" w:lineRule="auto"/>
        <w:rPr>
          <w:highlight w:val="none"/>
        </w:rPr>
      </w:pPr>
    </w:p>
    <w:p w14:paraId="0B382331">
      <w:pPr>
        <w:pStyle w:val="15"/>
        <w:spacing w:line="720" w:lineRule="auto"/>
        <w:rPr>
          <w:bCs/>
          <w:highlight w:val="none"/>
        </w:rPr>
      </w:pPr>
      <w:r>
        <w:rPr>
          <w:bCs/>
          <w:highlight w:val="none"/>
          <w:u w:val="single"/>
        </w:rPr>
        <w:t xml:space="preserve">               </w:t>
      </w:r>
      <w:r>
        <w:rPr>
          <w:bCs/>
          <w:highlight w:val="none"/>
        </w:rPr>
        <w:t>现任我单位</w:t>
      </w:r>
      <w:r>
        <w:rPr>
          <w:bCs/>
          <w:highlight w:val="none"/>
          <w:u w:val="single"/>
        </w:rPr>
        <w:t xml:space="preserve">     （单位名称及职务）           </w:t>
      </w:r>
      <w:r>
        <w:rPr>
          <w:bCs/>
          <w:highlight w:val="none"/>
        </w:rPr>
        <w:t>，为法定代表人，特此证明。</w:t>
      </w:r>
    </w:p>
    <w:p w14:paraId="75FB1703">
      <w:pPr>
        <w:pStyle w:val="15"/>
        <w:spacing w:line="720" w:lineRule="auto"/>
        <w:rPr>
          <w:bCs/>
          <w:highlight w:val="none"/>
        </w:rPr>
      </w:pPr>
      <w:r>
        <w:rPr>
          <w:bCs/>
          <w:highlight w:val="none"/>
        </w:rPr>
        <w:t xml:space="preserve">        </w:t>
      </w:r>
    </w:p>
    <w:p w14:paraId="08405F03">
      <w:pPr>
        <w:pStyle w:val="15"/>
        <w:spacing w:line="720" w:lineRule="auto"/>
        <w:ind w:firstLine="0"/>
        <w:rPr>
          <w:bCs/>
          <w:highlight w:val="none"/>
        </w:rPr>
      </w:pPr>
    </w:p>
    <w:p w14:paraId="41640FE3">
      <w:pPr>
        <w:pStyle w:val="15"/>
        <w:spacing w:line="720" w:lineRule="auto"/>
        <w:rPr>
          <w:bCs/>
          <w:highlight w:val="none"/>
        </w:rPr>
      </w:pPr>
      <w:r>
        <w:rPr>
          <w:bCs/>
          <w:highlight w:val="none"/>
        </w:rPr>
        <w:t>附：法定代表人性别：</w:t>
      </w:r>
      <w:r>
        <w:rPr>
          <w:bCs/>
          <w:highlight w:val="none"/>
          <w:u w:val="single"/>
        </w:rPr>
        <w:t xml:space="preserve">      </w:t>
      </w:r>
      <w:r>
        <w:rPr>
          <w:bCs/>
          <w:highlight w:val="none"/>
        </w:rPr>
        <w:t>年龄：</w:t>
      </w:r>
      <w:r>
        <w:rPr>
          <w:bCs/>
          <w:highlight w:val="none"/>
          <w:u w:val="single"/>
        </w:rPr>
        <w:t xml:space="preserve">        </w:t>
      </w:r>
      <w:r>
        <w:rPr>
          <w:bCs/>
          <w:highlight w:val="none"/>
        </w:rPr>
        <w:t>身份证号码：</w:t>
      </w:r>
      <w:r>
        <w:rPr>
          <w:bCs/>
          <w:highlight w:val="none"/>
          <w:u w:val="single"/>
        </w:rPr>
        <w:t xml:space="preserve">                  </w:t>
      </w:r>
      <w:r>
        <w:rPr>
          <w:bCs/>
          <w:highlight w:val="none"/>
        </w:rPr>
        <w:t>。</w:t>
      </w:r>
      <w:r>
        <w:rPr>
          <w:bCs/>
          <w:highlight w:val="none"/>
          <w:u w:val="single"/>
        </w:rPr>
        <w:t xml:space="preserve"> </w:t>
      </w:r>
      <w:r>
        <w:rPr>
          <w:bCs/>
          <w:highlight w:val="none"/>
        </w:rPr>
        <w:t xml:space="preserve"> </w:t>
      </w:r>
    </w:p>
    <w:p w14:paraId="48619C2D">
      <w:pPr>
        <w:pStyle w:val="15"/>
        <w:spacing w:line="720" w:lineRule="auto"/>
        <w:rPr>
          <w:bCs/>
          <w:highlight w:val="none"/>
        </w:rPr>
      </w:pPr>
      <w:r>
        <w:rPr>
          <w:bCs/>
          <w:highlight w:val="none"/>
        </w:rPr>
        <w:t>营业执照号码：</w:t>
      </w:r>
      <w:r>
        <w:rPr>
          <w:bCs/>
          <w:highlight w:val="none"/>
          <w:u w:val="single"/>
        </w:rPr>
        <w:t xml:space="preserve">                       </w:t>
      </w:r>
      <w:r>
        <w:rPr>
          <w:bCs/>
          <w:highlight w:val="none"/>
        </w:rPr>
        <w:t xml:space="preserve"> 企业类型：</w:t>
      </w:r>
      <w:r>
        <w:rPr>
          <w:bCs/>
          <w:highlight w:val="none"/>
          <w:u w:val="single"/>
        </w:rPr>
        <w:t xml:space="preserve">                </w:t>
      </w:r>
      <w:r>
        <w:rPr>
          <w:bCs/>
          <w:highlight w:val="none"/>
        </w:rPr>
        <w:t xml:space="preserve"> 。 </w:t>
      </w:r>
    </w:p>
    <w:p w14:paraId="5B51975A">
      <w:pPr>
        <w:pStyle w:val="15"/>
        <w:spacing w:line="720" w:lineRule="auto"/>
        <w:rPr>
          <w:b/>
          <w:highlight w:val="none"/>
        </w:rPr>
      </w:pPr>
      <w:r>
        <w:rPr>
          <w:bCs/>
          <w:highlight w:val="none"/>
        </w:rPr>
        <w:t>经营范围：</w:t>
      </w:r>
      <w:r>
        <w:rPr>
          <w:b/>
          <w:highlight w:val="none"/>
          <w:u w:val="single"/>
        </w:rPr>
        <w:t xml:space="preserve">                                           </w:t>
      </w:r>
      <w:r>
        <w:rPr>
          <w:b/>
          <w:highlight w:val="none"/>
        </w:rPr>
        <w:t>。</w:t>
      </w:r>
    </w:p>
    <w:p w14:paraId="161F6707">
      <w:pPr>
        <w:spacing w:line="720" w:lineRule="auto"/>
        <w:jc w:val="center"/>
        <w:rPr>
          <w:highlight w:val="none"/>
        </w:rPr>
      </w:pPr>
      <w:r>
        <w:rPr>
          <w:highlight w:val="none"/>
        </w:rPr>
        <w:t xml:space="preserve">                  </w:t>
      </w:r>
    </w:p>
    <w:p w14:paraId="4581844F">
      <w:pPr>
        <w:spacing w:line="720" w:lineRule="auto"/>
        <w:jc w:val="center"/>
        <w:rPr>
          <w:highlight w:val="none"/>
        </w:rPr>
      </w:pPr>
      <w:r>
        <w:rPr>
          <w:highlight w:val="none"/>
        </w:rPr>
        <w:t xml:space="preserve">  </w:t>
      </w:r>
      <w:r>
        <w:rPr>
          <w:highlight w:val="none"/>
        </w:rPr>
        <w:tab/>
      </w:r>
      <w:r>
        <w:rPr>
          <w:highlight w:val="none"/>
        </w:rPr>
        <w:tab/>
      </w:r>
      <w:r>
        <w:rPr>
          <w:highlight w:val="none"/>
        </w:rPr>
        <w:tab/>
      </w:r>
      <w:r>
        <w:rPr>
          <w:highlight w:val="none"/>
        </w:rPr>
        <w:tab/>
      </w:r>
      <w:r>
        <w:rPr>
          <w:rFonts w:hint="eastAsia"/>
          <w:highlight w:val="none"/>
          <w:lang w:eastAsia="zh-CN"/>
        </w:rPr>
        <w:t>供应商</w:t>
      </w:r>
      <w:r>
        <w:rPr>
          <w:highlight w:val="none"/>
        </w:rPr>
        <w:t>（公章）：</w:t>
      </w:r>
    </w:p>
    <w:p w14:paraId="403376FD">
      <w:pPr>
        <w:spacing w:line="720" w:lineRule="auto"/>
        <w:jc w:val="center"/>
        <w:rPr>
          <w:highlight w:val="none"/>
        </w:rPr>
      </w:pPr>
      <w:r>
        <w:rPr>
          <w:rFonts w:hint="eastAsia"/>
          <w:highlight w:val="none"/>
        </w:rPr>
        <w:t xml:space="preserve">      </w:t>
      </w:r>
      <w:r>
        <w:rPr>
          <w:highlight w:val="none"/>
        </w:rPr>
        <w:t>日期：</w:t>
      </w:r>
    </w:p>
    <w:p w14:paraId="0BF2C4C1">
      <w:pPr>
        <w:widowControl/>
        <w:rPr>
          <w:spacing w:val="20"/>
          <w:highlight w:val="none"/>
        </w:rPr>
      </w:pPr>
      <w:r>
        <w:rPr>
          <w:highlight w:val="none"/>
        </w:rPr>
        <w:t>（附法定代表人居民身份证复印件</w:t>
      </w:r>
      <w:r>
        <w:rPr>
          <w:spacing w:val="20"/>
          <w:highlight w:val="none"/>
        </w:rPr>
        <w:t>）</w:t>
      </w:r>
    </w:p>
    <w:p w14:paraId="3C09DDD4">
      <w:pPr>
        <w:spacing w:line="360" w:lineRule="auto"/>
        <w:ind w:firstLine="420" w:firstLineChars="200"/>
        <w:rPr>
          <w:highlight w:val="none"/>
        </w:rPr>
      </w:pPr>
    </w:p>
    <w:p w14:paraId="12B8A93C">
      <w:pPr>
        <w:spacing w:line="360" w:lineRule="auto"/>
        <w:ind w:firstLine="420" w:firstLineChars="200"/>
        <w:rPr>
          <w:highlight w:val="none"/>
        </w:rPr>
      </w:pPr>
    </w:p>
    <w:p w14:paraId="1F82C97B">
      <w:pPr>
        <w:pStyle w:val="25"/>
        <w:spacing w:line="300" w:lineRule="exact"/>
        <w:ind w:firstLine="472" w:firstLineChars="196"/>
        <w:rPr>
          <w:rFonts w:ascii="Times New Roman" w:hAnsi="Times New Roman" w:eastAsia="宋体" w:cs="Times New Roman"/>
          <w:b/>
          <w:sz w:val="24"/>
          <w:szCs w:val="24"/>
          <w:highlight w:val="none"/>
        </w:rPr>
      </w:pPr>
    </w:p>
    <w:p w14:paraId="4C403889">
      <w:pPr>
        <w:pStyle w:val="25"/>
        <w:ind w:firstLine="630" w:firstLineChars="196"/>
        <w:jc w:val="center"/>
        <w:rPr>
          <w:rFonts w:ascii="Times New Roman" w:hAnsi="Times New Roman" w:eastAsia="宋体" w:cs="Times New Roman"/>
          <w:b/>
          <w:sz w:val="32"/>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2EA53129">
      <w:pPr>
        <w:pStyle w:val="25"/>
        <w:rPr>
          <w:rFonts w:ascii="Times New Roman" w:hAnsi="Times New Roman" w:eastAsia="宋体" w:cs="Times New Roman"/>
          <w:b/>
          <w:bCs/>
          <w:kern w:val="0"/>
          <w:highlight w:val="none"/>
        </w:rPr>
      </w:pPr>
      <w:r>
        <w:rPr>
          <w:rFonts w:hint="eastAsia" w:ascii="Times New Roman" w:hAnsi="Times New Roman" w:eastAsia="宋体" w:cs="Times New Roman"/>
          <w:b/>
          <w:bCs/>
          <w:kern w:val="0"/>
          <w:highlight w:val="none"/>
          <w:lang w:val="en-US" w:eastAsia="zh-CN"/>
        </w:rPr>
        <w:t>5-1.</w:t>
      </w:r>
      <w:r>
        <w:rPr>
          <w:rFonts w:ascii="Times New Roman" w:hAnsi="Times New Roman" w:eastAsia="宋体" w:cs="Times New Roman"/>
          <w:b/>
          <w:bCs/>
          <w:kern w:val="0"/>
          <w:highlight w:val="none"/>
        </w:rPr>
        <w:t>法定代表人授权委托书（有授权代表时必须提供）</w:t>
      </w:r>
    </w:p>
    <w:p w14:paraId="00725C3A">
      <w:pPr>
        <w:pStyle w:val="13"/>
        <w:rPr>
          <w:highlight w:val="none"/>
        </w:rPr>
      </w:pPr>
    </w:p>
    <w:p w14:paraId="16FECC03">
      <w:pPr>
        <w:pStyle w:val="25"/>
        <w:ind w:firstLine="630" w:firstLineChars="196"/>
        <w:jc w:val="center"/>
        <w:rPr>
          <w:rFonts w:ascii="Times New Roman" w:hAnsi="Times New Roman" w:eastAsia="宋体" w:cs="Times New Roman"/>
          <w:b/>
          <w:sz w:val="32"/>
          <w:highlight w:val="none"/>
        </w:rPr>
      </w:pPr>
      <w:r>
        <w:rPr>
          <w:rFonts w:ascii="Times New Roman" w:hAnsi="Times New Roman" w:eastAsia="宋体" w:cs="Times New Roman"/>
          <w:b/>
          <w:sz w:val="32"/>
          <w:highlight w:val="none"/>
        </w:rPr>
        <w:t>授权委托书</w:t>
      </w:r>
    </w:p>
    <w:p w14:paraId="5DD5D1B2">
      <w:pPr>
        <w:pStyle w:val="25"/>
        <w:rPr>
          <w:rFonts w:ascii="Times New Roman" w:hAnsi="Times New Roman" w:eastAsia="宋体" w:cs="Times New Roman"/>
          <w:highlight w:val="none"/>
        </w:rPr>
      </w:pPr>
    </w:p>
    <w:p w14:paraId="0D11ED24">
      <w:pPr>
        <w:pStyle w:val="25"/>
        <w:rPr>
          <w:rFonts w:ascii="Times New Roman" w:hAnsi="Times New Roman" w:eastAsia="宋体" w:cs="Times New Roman"/>
          <w:b/>
          <w:highlight w:val="none"/>
        </w:rPr>
      </w:pPr>
      <w:r>
        <w:rPr>
          <w:rFonts w:ascii="Times New Roman" w:hAnsi="Times New Roman" w:eastAsia="宋体" w:cs="Times New Roman"/>
          <w:highlight w:val="none"/>
        </w:rPr>
        <w:t>致</w:t>
      </w:r>
      <w:r>
        <w:rPr>
          <w:rFonts w:hint="eastAsia" w:ascii="Times New Roman" w:hAnsi="Times New Roman" w:eastAsia="宋体" w:cs="Times New Roman"/>
          <w:highlight w:val="none"/>
        </w:rPr>
        <w:t>：</w:t>
      </w:r>
      <w:r>
        <w:rPr>
          <w:rFonts w:ascii="Times New Roman" w:hAnsi="Times New Roman" w:eastAsia="宋体" w:cs="Times New Roman"/>
          <w:b/>
          <w:highlight w:val="none"/>
        </w:rPr>
        <w:t>桂林银行股份有限公司</w:t>
      </w:r>
    </w:p>
    <w:p w14:paraId="3567FFA2">
      <w:pPr>
        <w:spacing w:line="400" w:lineRule="exact"/>
        <w:rPr>
          <w:highlight w:val="none"/>
        </w:rPr>
      </w:pPr>
    </w:p>
    <w:p w14:paraId="3EA160EB">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kern w:val="0"/>
          <w:highlight w:val="none"/>
        </w:rPr>
        <w:t>本人</w:t>
      </w:r>
      <w:r>
        <w:rPr>
          <w:rFonts w:ascii="Times New Roman" w:hAnsi="Times New Roman" w:eastAsia="宋体" w:cs="Times New Roman"/>
          <w:kern w:val="0"/>
          <w:highlight w:val="none"/>
          <w:u w:val="single"/>
        </w:rPr>
        <w:t>（姓名）</w:t>
      </w:r>
      <w:r>
        <w:rPr>
          <w:rFonts w:ascii="Times New Roman" w:hAnsi="Times New Roman" w:eastAsia="宋体" w:cs="Times New Roman"/>
          <w:kern w:val="0"/>
          <w:highlight w:val="none"/>
        </w:rPr>
        <w:t>系</w:t>
      </w:r>
      <w:r>
        <w:rPr>
          <w:rFonts w:ascii="Times New Roman" w:hAnsi="Times New Roman" w:eastAsia="宋体" w:cs="Times New Roman"/>
          <w:kern w:val="0"/>
          <w:highlight w:val="none"/>
          <w:u w:val="single"/>
        </w:rPr>
        <w:t>（</w:t>
      </w:r>
      <w:r>
        <w:rPr>
          <w:rFonts w:hint="eastAsia" w:ascii="Times New Roman" w:hAnsi="Times New Roman" w:eastAsia="宋体" w:cs="Times New Roman"/>
          <w:kern w:val="0"/>
          <w:highlight w:val="none"/>
          <w:u w:val="single"/>
          <w:lang w:eastAsia="zh-CN"/>
        </w:rPr>
        <w:t>供应商</w:t>
      </w:r>
      <w:r>
        <w:rPr>
          <w:rFonts w:ascii="Times New Roman" w:hAnsi="Times New Roman" w:eastAsia="宋体" w:cs="Times New Roman"/>
          <w:kern w:val="0"/>
          <w:highlight w:val="none"/>
          <w:u w:val="single"/>
        </w:rPr>
        <w:t>名称）</w:t>
      </w:r>
      <w:r>
        <w:rPr>
          <w:rFonts w:ascii="Times New Roman" w:hAnsi="Times New Roman" w:eastAsia="宋体" w:cs="Times New Roman"/>
          <w:kern w:val="0"/>
          <w:highlight w:val="none"/>
        </w:rPr>
        <w:t>的法定代表人（负责人），现委托</w:t>
      </w:r>
      <w:r>
        <w:rPr>
          <w:rFonts w:ascii="Times New Roman" w:hAnsi="Times New Roman" w:eastAsia="宋体" w:cs="Times New Roman"/>
          <w:kern w:val="0"/>
          <w:highlight w:val="none"/>
          <w:u w:val="single"/>
        </w:rPr>
        <w:t>（姓 名）</w:t>
      </w:r>
      <w:r>
        <w:rPr>
          <w:rFonts w:hint="eastAsia" w:ascii="Times New Roman" w:hAnsi="Times New Roman" w:eastAsia="宋体" w:cs="Times New Roman"/>
          <w:kern w:val="0"/>
          <w:highlight w:val="none"/>
        </w:rPr>
        <w:t>为我方代理人。代理人根据授权，</w:t>
      </w:r>
      <w:r>
        <w:rPr>
          <w:rFonts w:ascii="Times New Roman" w:hAnsi="Times New Roman" w:eastAsia="宋体" w:cs="Times New Roman"/>
          <w:kern w:val="0"/>
          <w:highlight w:val="none"/>
        </w:rPr>
        <w:t>以我</w:t>
      </w:r>
      <w:r>
        <w:rPr>
          <w:rFonts w:hint="eastAsia" w:ascii="Times New Roman" w:hAnsi="Times New Roman" w:eastAsia="宋体" w:cs="Times New Roman"/>
          <w:kern w:val="0"/>
          <w:highlight w:val="none"/>
        </w:rPr>
        <w:t>方</w:t>
      </w:r>
      <w:r>
        <w:rPr>
          <w:rFonts w:ascii="Times New Roman" w:hAnsi="Times New Roman" w:eastAsia="宋体" w:cs="Times New Roman"/>
          <w:kern w:val="0"/>
          <w:highlight w:val="none"/>
        </w:rPr>
        <w:t>名义参加</w:t>
      </w:r>
      <w:r>
        <w:rPr>
          <w:rFonts w:hint="eastAsia" w:ascii="Times New Roman" w:hAnsi="Times New Roman" w:eastAsia="宋体" w:cs="Times New Roman"/>
          <w:highlight w:val="none"/>
          <w:u w:val="single"/>
        </w:rPr>
        <w:t xml:space="preserve"> 桂林银行采购洗钱风险自评估咨询项目</w:t>
      </w:r>
      <w:r>
        <w:rPr>
          <w:rFonts w:hint="eastAsia" w:ascii="Times New Roman" w:hAnsi="Times New Roman" w:eastAsia="宋体" w:cs="Times New Roman"/>
          <w:highlight w:val="none"/>
          <w:u w:val="single"/>
          <w:lang w:val="en-US" w:eastAsia="zh-CN"/>
        </w:rPr>
        <w:t>/项目编号：</w:t>
      </w:r>
      <w:r>
        <w:rPr>
          <w:rFonts w:hint="eastAsia" w:ascii="Times New Roman" w:hAnsi="Times New Roman" w:eastAsia="宋体" w:cs="Times New Roman"/>
          <w:highlight w:val="none"/>
          <w:u w:val="single"/>
        </w:rPr>
        <w:t>GYJC202</w:t>
      </w:r>
      <w:r>
        <w:rPr>
          <w:rFonts w:hint="eastAsia" w:ascii="Times New Roman" w:hAnsi="Times New Roman" w:eastAsia="宋体" w:cs="Times New Roman"/>
          <w:highlight w:val="none"/>
          <w:u w:val="single"/>
          <w:lang w:val="en-US" w:eastAsia="zh-CN"/>
        </w:rPr>
        <w:t>5155</w:t>
      </w:r>
      <w:r>
        <w:rPr>
          <w:rFonts w:ascii="Times New Roman" w:hAnsi="Times New Roman" w:eastAsia="宋体" w:cs="Times New Roman"/>
          <w:highlight w:val="none"/>
          <w:u w:val="single"/>
        </w:rPr>
        <w:t xml:space="preserve"> </w:t>
      </w:r>
      <w:r>
        <w:rPr>
          <w:rFonts w:ascii="Times New Roman" w:hAnsi="Times New Roman" w:eastAsia="宋体" w:cs="Times New Roman"/>
          <w:highlight w:val="none"/>
        </w:rPr>
        <w:t>的磋商活动，并代表我方全权办理针对上述项目的磋商、</w:t>
      </w:r>
      <w:r>
        <w:rPr>
          <w:rFonts w:hint="eastAsia" w:ascii="Times New Roman" w:hAnsi="Times New Roman" w:eastAsia="宋体" w:cs="Times New Roman"/>
          <w:highlight w:val="none"/>
        </w:rPr>
        <w:t>澄清确认、递交、撤回、修改、</w:t>
      </w:r>
      <w:r>
        <w:rPr>
          <w:rFonts w:ascii="Times New Roman" w:hAnsi="Times New Roman" w:eastAsia="宋体" w:cs="Times New Roman"/>
          <w:highlight w:val="none"/>
        </w:rPr>
        <w:t>签约等具体事务和</w:t>
      </w:r>
      <w:r>
        <w:rPr>
          <w:rFonts w:hint="eastAsia" w:ascii="Times New Roman" w:hAnsi="Times New Roman" w:eastAsia="宋体" w:cs="Times New Roman"/>
          <w:highlight w:val="none"/>
        </w:rPr>
        <w:t>处理有关事宜</w:t>
      </w:r>
      <w:r>
        <w:rPr>
          <w:rFonts w:ascii="Times New Roman" w:hAnsi="Times New Roman" w:eastAsia="宋体" w:cs="Times New Roman"/>
          <w:highlight w:val="none"/>
        </w:rPr>
        <w:t>。</w:t>
      </w:r>
    </w:p>
    <w:p w14:paraId="289B112B">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我方对</w:t>
      </w:r>
      <w:r>
        <w:rPr>
          <w:rFonts w:hint="eastAsia" w:ascii="Times New Roman" w:hAnsi="Times New Roman" w:eastAsia="宋体" w:cs="Times New Roman"/>
          <w:highlight w:val="none"/>
        </w:rPr>
        <w:t>代理</w:t>
      </w:r>
      <w:r>
        <w:rPr>
          <w:rFonts w:ascii="Times New Roman" w:hAnsi="Times New Roman" w:eastAsia="宋体" w:cs="Times New Roman"/>
          <w:highlight w:val="none"/>
        </w:rPr>
        <w:t>人的签字事项负全部责任。</w:t>
      </w:r>
    </w:p>
    <w:p w14:paraId="1DA59ADD">
      <w:pPr>
        <w:snapToGrid w:val="0"/>
        <w:spacing w:before="156" w:beforeLines="50" w:after="50" w:line="440" w:lineRule="exact"/>
        <w:ind w:firstLine="420" w:firstLineChars="200"/>
        <w:rPr>
          <w:highlight w:val="none"/>
        </w:rPr>
      </w:pPr>
      <w:r>
        <w:rPr>
          <w:rFonts w:hint="eastAsia"/>
          <w:highlight w:val="none"/>
        </w:rPr>
        <w:t>委托期限：</w:t>
      </w:r>
    </w:p>
    <w:p w14:paraId="184F74D8">
      <w:pPr>
        <w:pStyle w:val="25"/>
        <w:spacing w:line="400" w:lineRule="exact"/>
        <w:rPr>
          <w:rFonts w:ascii="Times New Roman" w:hAnsi="Times New Roman" w:eastAsia="宋体" w:cs="Times New Roman"/>
          <w:highlight w:val="none"/>
          <w:u w:val="single"/>
        </w:rPr>
      </w:pPr>
    </w:p>
    <w:p w14:paraId="6A2F1BFC">
      <w:pPr>
        <w:spacing w:line="400" w:lineRule="exact"/>
        <w:ind w:firstLine="420" w:firstLineChars="200"/>
        <w:rPr>
          <w:kern w:val="0"/>
          <w:highlight w:val="none"/>
        </w:rPr>
      </w:pPr>
      <w:r>
        <w:rPr>
          <w:kern w:val="0"/>
          <w:highlight w:val="none"/>
        </w:rPr>
        <w:t>代理人无转委托权</w:t>
      </w:r>
      <w:r>
        <w:rPr>
          <w:rFonts w:hint="eastAsia"/>
          <w:kern w:val="0"/>
          <w:highlight w:val="none"/>
        </w:rPr>
        <w:t>，</w:t>
      </w:r>
      <w:r>
        <w:rPr>
          <w:kern w:val="0"/>
          <w:highlight w:val="none"/>
        </w:rPr>
        <w:t>特此委托。</w:t>
      </w:r>
    </w:p>
    <w:p w14:paraId="394E3A79">
      <w:pPr>
        <w:snapToGrid w:val="0"/>
        <w:spacing w:line="400" w:lineRule="exact"/>
        <w:ind w:firstLine="525"/>
        <w:outlineLvl w:val="4"/>
        <w:rPr>
          <w:highlight w:val="none"/>
        </w:rPr>
      </w:pPr>
    </w:p>
    <w:p w14:paraId="262078A0">
      <w:pPr>
        <w:snapToGrid w:val="0"/>
        <w:spacing w:line="400" w:lineRule="exact"/>
        <w:ind w:firstLine="420"/>
        <w:outlineLvl w:val="4"/>
        <w:rPr>
          <w:highlight w:val="none"/>
        </w:rPr>
      </w:pPr>
    </w:p>
    <w:p w14:paraId="102CAF79">
      <w:pPr>
        <w:rPr>
          <w:highlight w:val="none"/>
        </w:rPr>
      </w:pPr>
      <w:r>
        <w:rPr>
          <w:rFonts w:hint="eastAsia"/>
          <w:highlight w:val="none"/>
          <w:lang w:eastAsia="zh-CN"/>
        </w:rPr>
        <w:t>供应商</w:t>
      </w:r>
      <w:r>
        <w:rPr>
          <w:rFonts w:hint="eastAsia"/>
          <w:highlight w:val="none"/>
        </w:rPr>
        <w:t>（公章）：</w:t>
      </w:r>
    </w:p>
    <w:p w14:paraId="76C5EDC6">
      <w:pPr>
        <w:rPr>
          <w:highlight w:val="none"/>
        </w:rPr>
      </w:pPr>
    </w:p>
    <w:p w14:paraId="1AA851A5">
      <w:pPr>
        <w:rPr>
          <w:highlight w:val="none"/>
        </w:rPr>
      </w:pPr>
      <w:r>
        <w:rPr>
          <w:highlight w:val="none"/>
        </w:rPr>
        <w:t>法定代表人（签字或签章）</w:t>
      </w:r>
      <w:r>
        <w:rPr>
          <w:rFonts w:hint="eastAsia"/>
          <w:highlight w:val="none"/>
        </w:rPr>
        <w:t>：</w:t>
      </w:r>
    </w:p>
    <w:p w14:paraId="541A4E51">
      <w:pPr>
        <w:pStyle w:val="2"/>
        <w:rPr>
          <w:highlight w:val="none"/>
        </w:rPr>
      </w:pPr>
    </w:p>
    <w:p w14:paraId="7AD27008">
      <w:pPr>
        <w:rPr>
          <w:highlight w:val="none"/>
        </w:rPr>
      </w:pPr>
      <w:r>
        <w:rPr>
          <w:rFonts w:hint="eastAsia"/>
          <w:highlight w:val="none"/>
        </w:rPr>
        <w:t>身份证号码：</w:t>
      </w:r>
    </w:p>
    <w:p w14:paraId="48D52522">
      <w:pPr>
        <w:pStyle w:val="55"/>
        <w:rPr>
          <w:highlight w:val="none"/>
        </w:rPr>
      </w:pPr>
    </w:p>
    <w:p w14:paraId="253945E1">
      <w:pPr>
        <w:rPr>
          <w:highlight w:val="none"/>
        </w:rPr>
      </w:pPr>
      <w:r>
        <w:rPr>
          <w:rFonts w:hint="eastAsia"/>
          <w:highlight w:val="none"/>
        </w:rPr>
        <w:t>委托代理人</w:t>
      </w:r>
      <w:r>
        <w:rPr>
          <w:highlight w:val="none"/>
        </w:rPr>
        <w:t>（</w:t>
      </w:r>
      <w:r>
        <w:rPr>
          <w:rFonts w:hint="eastAsia"/>
          <w:highlight w:val="none"/>
        </w:rPr>
        <w:t>签字或签章</w:t>
      </w:r>
      <w:r>
        <w:rPr>
          <w:highlight w:val="none"/>
        </w:rPr>
        <w:t>）</w:t>
      </w:r>
      <w:r>
        <w:rPr>
          <w:rFonts w:hint="eastAsia"/>
          <w:highlight w:val="none"/>
        </w:rPr>
        <w:t>：</w:t>
      </w:r>
    </w:p>
    <w:p w14:paraId="33A46712">
      <w:pPr>
        <w:pStyle w:val="2"/>
        <w:rPr>
          <w:highlight w:val="none"/>
        </w:rPr>
      </w:pPr>
    </w:p>
    <w:p w14:paraId="025699AF">
      <w:pPr>
        <w:rPr>
          <w:highlight w:val="none"/>
        </w:rPr>
      </w:pPr>
      <w:r>
        <w:rPr>
          <w:rFonts w:hint="eastAsia"/>
          <w:highlight w:val="none"/>
        </w:rPr>
        <w:t>身份证号码：</w:t>
      </w:r>
    </w:p>
    <w:p w14:paraId="29EACCF8">
      <w:pPr>
        <w:rPr>
          <w:bCs/>
          <w:szCs w:val="22"/>
          <w:highlight w:val="none"/>
        </w:rPr>
      </w:pPr>
    </w:p>
    <w:p w14:paraId="02926A7F">
      <w:pPr>
        <w:rPr>
          <w:bCs/>
          <w:szCs w:val="22"/>
          <w:highlight w:val="none"/>
        </w:rPr>
      </w:pPr>
      <w:r>
        <w:rPr>
          <w:bCs/>
          <w:szCs w:val="22"/>
          <w:highlight w:val="none"/>
        </w:rPr>
        <w:t>日期</w:t>
      </w:r>
      <w:r>
        <w:rPr>
          <w:rFonts w:hint="eastAsia"/>
          <w:bCs/>
          <w:szCs w:val="22"/>
          <w:highlight w:val="none"/>
        </w:rPr>
        <w:t>：</w:t>
      </w:r>
    </w:p>
    <w:p w14:paraId="6E04336E">
      <w:pPr>
        <w:snapToGrid w:val="0"/>
        <w:spacing w:line="400" w:lineRule="exact"/>
        <w:outlineLvl w:val="4"/>
        <w:rPr>
          <w:highlight w:val="none"/>
        </w:rPr>
      </w:pPr>
    </w:p>
    <w:p w14:paraId="7DCC0CC8">
      <w:pPr>
        <w:pStyle w:val="2"/>
        <w:rPr>
          <w:highlight w:val="none"/>
        </w:rPr>
      </w:pPr>
    </w:p>
    <w:p w14:paraId="63919270">
      <w:pPr>
        <w:snapToGrid w:val="0"/>
        <w:spacing w:line="400" w:lineRule="exact"/>
        <w:outlineLvl w:val="4"/>
        <w:rPr>
          <w:bCs/>
          <w:highlight w:val="none"/>
        </w:rPr>
      </w:pPr>
      <w:r>
        <w:rPr>
          <w:bCs/>
          <w:highlight w:val="none"/>
        </w:rPr>
        <w:t>附：法定代表人有效的身份证复印件及授权代表有效的身份证复印件</w:t>
      </w:r>
    </w:p>
    <w:p w14:paraId="0EFE8F9D">
      <w:pPr>
        <w:pStyle w:val="2"/>
        <w:rPr>
          <w:highlight w:val="none"/>
        </w:rPr>
      </w:pPr>
      <w:r>
        <w:rPr>
          <w:rFonts w:hint="eastAsia"/>
          <w:bCs/>
          <w:highlight w:val="none"/>
        </w:rPr>
        <w:t>注：本授权委托书需由</w:t>
      </w:r>
      <w:r>
        <w:rPr>
          <w:rFonts w:hint="eastAsia"/>
          <w:bCs/>
          <w:highlight w:val="none"/>
          <w:lang w:eastAsia="zh-CN"/>
        </w:rPr>
        <w:t>供应商</w:t>
      </w:r>
      <w:r>
        <w:rPr>
          <w:rFonts w:hint="eastAsia"/>
          <w:bCs/>
          <w:highlight w:val="none"/>
        </w:rPr>
        <w:t>加盖单位公章并由其法定代表人和委托代理签字或签章。</w:t>
      </w:r>
    </w:p>
    <w:p w14:paraId="7FE7E521">
      <w:pPr>
        <w:pStyle w:val="2"/>
        <w:ind w:firstLine="420" w:firstLineChars="200"/>
        <w:rPr>
          <w:bCs/>
          <w:highlight w:val="none"/>
        </w:rPr>
      </w:pPr>
    </w:p>
    <w:p w14:paraId="5AAA784C">
      <w:pPr>
        <w:pStyle w:val="4"/>
        <w:keepNext w:val="0"/>
        <w:pageBreakBefore/>
        <w:spacing w:line="400" w:lineRule="exact"/>
        <w:rPr>
          <w:rFonts w:ascii="Times New Roman" w:hAnsi="Times New Roman" w:eastAsia="宋体" w:cs="Times New Roman"/>
          <w:bCs w:val="0"/>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3DBC4DF2">
      <w:pPr>
        <w:spacing w:line="380" w:lineRule="exact"/>
        <w:rPr>
          <w:rFonts w:ascii="宋体" w:hAnsi="宋体" w:cs="宋体"/>
          <w:b/>
          <w:highlight w:val="none"/>
        </w:rPr>
      </w:pPr>
      <w:r>
        <w:rPr>
          <w:rFonts w:hint="eastAsia" w:ascii="宋体" w:hAnsi="宋体" w:cs="宋体"/>
          <w:b/>
          <w:highlight w:val="none"/>
          <w:lang w:val="en-US" w:eastAsia="zh-CN"/>
        </w:rPr>
        <w:t>6.</w:t>
      </w:r>
      <w:r>
        <w:rPr>
          <w:rFonts w:hint="eastAsia" w:ascii="宋体" w:hAnsi="宋体" w:cs="宋体"/>
          <w:b/>
          <w:highlight w:val="none"/>
        </w:rPr>
        <w:t>磋商保证金缴纳证明。（加盖</w:t>
      </w:r>
      <w:r>
        <w:rPr>
          <w:rFonts w:hint="eastAsia" w:ascii="宋体" w:hAnsi="宋体" w:cs="宋体"/>
          <w:b/>
          <w:highlight w:val="none"/>
          <w:lang w:eastAsia="zh-CN"/>
        </w:rPr>
        <w:t>供应商</w:t>
      </w:r>
      <w:r>
        <w:rPr>
          <w:rFonts w:hint="eastAsia" w:ascii="宋体" w:hAnsi="宋体" w:cs="宋体"/>
          <w:b/>
          <w:highlight w:val="none"/>
        </w:rPr>
        <w:t>公章）（如磋商文件有要求时必须提供）</w:t>
      </w:r>
    </w:p>
    <w:p w14:paraId="290E432A">
      <w:pPr>
        <w:spacing w:line="380" w:lineRule="exact"/>
        <w:rPr>
          <w:rFonts w:ascii="宋体" w:hAnsi="宋体" w:cs="宋体"/>
          <w:b/>
          <w:bCs/>
          <w:highlight w:val="none"/>
        </w:rPr>
      </w:pPr>
    </w:p>
    <w:p w14:paraId="6E2FFC67">
      <w:pPr>
        <w:spacing w:line="380" w:lineRule="exact"/>
        <w:rPr>
          <w:rFonts w:ascii="宋体" w:hAnsi="宋体" w:cs="宋体"/>
          <w:b/>
          <w:bCs/>
          <w:highlight w:val="none"/>
        </w:rPr>
      </w:pPr>
      <w:r>
        <w:rPr>
          <w:rFonts w:hint="eastAsia" w:ascii="宋体" w:hAnsi="宋体" w:cs="宋体"/>
          <w:b/>
          <w:bCs/>
          <w:highlight w:val="none"/>
          <w:lang w:val="en-US" w:eastAsia="zh-CN"/>
        </w:rPr>
        <w:t>7.</w:t>
      </w:r>
      <w:r>
        <w:rPr>
          <w:rFonts w:hint="eastAsia" w:ascii="宋体" w:hAnsi="宋体" w:cs="宋体"/>
          <w:b/>
          <w:bCs/>
          <w:highlight w:val="none"/>
        </w:rPr>
        <w:t>资格审查部分</w:t>
      </w:r>
    </w:p>
    <w:p w14:paraId="293933C1">
      <w:pPr>
        <w:spacing w:line="380" w:lineRule="exact"/>
        <w:rPr>
          <w:rFonts w:ascii="宋体" w:hAnsi="宋体" w:cs="宋体"/>
          <w:highlight w:val="none"/>
        </w:rPr>
      </w:pPr>
      <w:r>
        <w:rPr>
          <w:rFonts w:hint="eastAsia" w:ascii="宋体" w:hAnsi="宋体" w:cs="宋体"/>
          <w:b/>
          <w:bCs/>
          <w:highlight w:val="none"/>
          <w:lang w:val="en-US" w:eastAsia="zh-CN"/>
        </w:rPr>
        <w:t>7</w:t>
      </w:r>
      <w:r>
        <w:rPr>
          <w:rFonts w:hint="eastAsia" w:ascii="宋体" w:hAnsi="宋体" w:cs="宋体"/>
          <w:b/>
          <w:bCs/>
          <w:highlight w:val="none"/>
        </w:rPr>
        <w:t>-1.</w:t>
      </w:r>
      <w:r>
        <w:rPr>
          <w:rFonts w:hint="eastAsia" w:ascii="宋体" w:hAnsi="宋体" w:cs="宋体"/>
          <w:highlight w:val="none"/>
        </w:rPr>
        <w:t>法人或者其他组织的营业执照</w:t>
      </w:r>
      <w:r>
        <w:rPr>
          <w:rFonts w:hint="eastAsia"/>
          <w:highlight w:val="none"/>
          <w:lang w:val="en-US" w:eastAsia="zh-CN"/>
        </w:rPr>
        <w:t>复印件</w:t>
      </w:r>
      <w:r>
        <w:rPr>
          <w:rFonts w:hint="eastAsia" w:ascii="宋体" w:hAnsi="宋体" w:cs="宋体"/>
          <w:highlight w:val="none"/>
        </w:rPr>
        <w:t>等证明文件。即</w:t>
      </w:r>
      <w:r>
        <w:rPr>
          <w:rFonts w:hint="eastAsia" w:ascii="宋体" w:hAnsi="宋体" w:cs="宋体"/>
          <w:highlight w:val="none"/>
          <w:lang w:eastAsia="zh-CN"/>
        </w:rPr>
        <w:t>供应商</w:t>
      </w:r>
      <w:r>
        <w:rPr>
          <w:rFonts w:hint="eastAsia" w:ascii="宋体" w:hAnsi="宋体" w:cs="宋体"/>
          <w:highlight w:val="none"/>
        </w:rPr>
        <w:t>是企业则提供营业执照（副本）复印件；</w:t>
      </w:r>
      <w:r>
        <w:rPr>
          <w:rFonts w:hint="eastAsia" w:ascii="宋体" w:hAnsi="宋体" w:cs="宋体"/>
          <w:highlight w:val="none"/>
          <w:lang w:eastAsia="zh-CN"/>
        </w:rPr>
        <w:t>供应商</w:t>
      </w:r>
      <w:r>
        <w:rPr>
          <w:rFonts w:hint="eastAsia" w:ascii="宋体" w:hAnsi="宋体" w:cs="宋体"/>
          <w:highlight w:val="none"/>
        </w:rPr>
        <w:t>是事业单位，则提供事业单位法人证书（副本）复印件；</w:t>
      </w:r>
      <w:r>
        <w:rPr>
          <w:rFonts w:hint="eastAsia" w:ascii="宋体" w:hAnsi="宋体" w:cs="宋体"/>
          <w:highlight w:val="none"/>
          <w:lang w:eastAsia="zh-CN"/>
        </w:rPr>
        <w:t>供应商</w:t>
      </w:r>
      <w:r>
        <w:rPr>
          <w:rFonts w:hint="eastAsia" w:ascii="宋体" w:hAnsi="宋体" w:cs="宋体"/>
          <w:highlight w:val="none"/>
        </w:rPr>
        <w:t>是非企业专业服务机构的，则提供执业许可证等证明文件复印件；</w:t>
      </w:r>
      <w:r>
        <w:rPr>
          <w:rFonts w:hint="eastAsia" w:ascii="宋体" w:hAnsi="宋体" w:cs="宋体"/>
          <w:highlight w:val="none"/>
          <w:lang w:eastAsia="zh-CN"/>
        </w:rPr>
        <w:t>供应商</w:t>
      </w:r>
      <w:r>
        <w:rPr>
          <w:rFonts w:hint="eastAsia" w:ascii="宋体" w:hAnsi="宋体" w:cs="宋体"/>
          <w:highlight w:val="none"/>
        </w:rPr>
        <w:t>是个体工商户，则提供个体工商户营业执照复印件；如</w:t>
      </w:r>
      <w:r>
        <w:rPr>
          <w:rFonts w:hint="eastAsia" w:ascii="宋体" w:hAnsi="宋体" w:cs="宋体"/>
          <w:highlight w:val="none"/>
          <w:lang w:eastAsia="zh-CN"/>
        </w:rPr>
        <w:t>供应商</w:t>
      </w:r>
      <w:r>
        <w:rPr>
          <w:rFonts w:hint="eastAsia" w:ascii="宋体" w:hAnsi="宋体" w:cs="宋体"/>
          <w:highlight w:val="none"/>
        </w:rPr>
        <w:t>不是以上所列的法人、组织的，则提供国家规定的相关证明材料。</w:t>
      </w:r>
      <w:r>
        <w:rPr>
          <w:rFonts w:hint="eastAsia" w:ascii="宋体" w:hAnsi="宋体"/>
          <w:b/>
          <w:bCs/>
          <w:szCs w:val="21"/>
          <w:highlight w:val="none"/>
        </w:rPr>
        <w:t>分公司参加投标的，应当取得总公司授权，并提供总公司的授权文件扫描件（加盖总公司公章），格式自拟。</w:t>
      </w:r>
      <w:r>
        <w:rPr>
          <w:rFonts w:hint="eastAsia" w:ascii="宋体" w:hAnsi="宋体" w:cs="宋体"/>
          <w:b/>
          <w:bCs/>
          <w:highlight w:val="none"/>
        </w:rPr>
        <w:t>（加盖</w:t>
      </w:r>
      <w:r>
        <w:rPr>
          <w:rFonts w:hint="eastAsia" w:ascii="宋体" w:hAnsi="宋体" w:cs="宋体"/>
          <w:b/>
          <w:bCs/>
          <w:highlight w:val="none"/>
          <w:lang w:eastAsia="zh-CN"/>
        </w:rPr>
        <w:t>供应商</w:t>
      </w:r>
      <w:r>
        <w:rPr>
          <w:rFonts w:hint="eastAsia" w:ascii="宋体" w:hAnsi="宋体" w:cs="宋体"/>
          <w:b/>
          <w:bCs/>
          <w:highlight w:val="none"/>
        </w:rPr>
        <w:t>公章）（必须提供）</w:t>
      </w:r>
    </w:p>
    <w:p w14:paraId="24E7A8E3">
      <w:pPr>
        <w:spacing w:line="380" w:lineRule="exact"/>
        <w:rPr>
          <w:rFonts w:ascii="宋体" w:hAnsi="宋体" w:cs="宋体"/>
          <w:b/>
          <w:highlight w:val="none"/>
        </w:rPr>
      </w:pPr>
    </w:p>
    <w:p w14:paraId="32B49C2C">
      <w:pPr>
        <w:spacing w:line="380" w:lineRule="exact"/>
        <w:rPr>
          <w:rFonts w:ascii="宋体" w:hAnsi="宋体" w:cs="宋体"/>
          <w:bCs/>
          <w:highlight w:val="none"/>
        </w:rPr>
      </w:pPr>
      <w:r>
        <w:rPr>
          <w:rFonts w:hint="eastAsia" w:ascii="宋体" w:hAnsi="宋体" w:cs="宋体"/>
          <w:b/>
          <w:highlight w:val="none"/>
          <w:lang w:val="en-US" w:eastAsia="zh-CN"/>
        </w:rPr>
        <w:t>7</w:t>
      </w:r>
      <w:r>
        <w:rPr>
          <w:rFonts w:hint="eastAsia" w:ascii="宋体" w:hAnsi="宋体" w:cs="宋体"/>
          <w:b/>
          <w:highlight w:val="none"/>
        </w:rPr>
        <w:t>-2.</w:t>
      </w:r>
      <w:r>
        <w:rPr>
          <w:rFonts w:hint="eastAsia" w:ascii="宋体" w:hAnsi="宋体" w:cs="宋体"/>
          <w:bCs/>
          <w:highlight w:val="none"/>
        </w:rPr>
        <w:t>2024年财务状况报告（表）复印件或银行出具的资信证明复印件。对于从取得营业执照时间起到截标时间为止不足1年的</w:t>
      </w:r>
      <w:r>
        <w:rPr>
          <w:rFonts w:hint="eastAsia" w:ascii="宋体" w:hAnsi="宋体" w:cs="宋体"/>
          <w:bCs/>
          <w:highlight w:val="none"/>
          <w:lang w:eastAsia="zh-CN"/>
        </w:rPr>
        <w:t>供应商</w:t>
      </w:r>
      <w:r>
        <w:rPr>
          <w:rFonts w:hint="eastAsia" w:ascii="宋体" w:hAnsi="宋体" w:cs="宋体"/>
          <w:bCs/>
          <w:highlight w:val="none"/>
        </w:rPr>
        <w:t>，只需提交截标时间前一个月的财务状况报告（表）复印件。</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公章）（必须提供）</w:t>
      </w:r>
    </w:p>
    <w:p w14:paraId="1240CFFE">
      <w:pPr>
        <w:spacing w:line="380" w:lineRule="exact"/>
        <w:rPr>
          <w:rFonts w:ascii="宋体" w:hAnsi="宋体" w:cs="宋体"/>
          <w:b/>
          <w:highlight w:val="none"/>
        </w:rPr>
      </w:pPr>
    </w:p>
    <w:p w14:paraId="63B63895">
      <w:pPr>
        <w:snapToGrid w:val="0"/>
        <w:spacing w:line="380" w:lineRule="exact"/>
        <w:jc w:val="left"/>
        <w:rPr>
          <w:rFonts w:ascii="宋体" w:hAnsi="宋体" w:cs="宋体"/>
          <w:bCs/>
          <w:highlight w:val="none"/>
        </w:rPr>
      </w:pPr>
      <w:r>
        <w:rPr>
          <w:rFonts w:hint="eastAsia" w:ascii="宋体" w:hAnsi="宋体" w:cs="宋体"/>
          <w:b/>
          <w:highlight w:val="none"/>
          <w:lang w:val="en-US" w:eastAsia="zh-CN"/>
        </w:rPr>
        <w:t>7</w:t>
      </w:r>
      <w:r>
        <w:rPr>
          <w:rFonts w:hint="eastAsia" w:ascii="宋体" w:hAnsi="宋体" w:cs="宋体"/>
          <w:b/>
          <w:highlight w:val="none"/>
        </w:rPr>
        <w:t>-3.</w:t>
      </w:r>
      <w:r>
        <w:rPr>
          <w:rFonts w:hint="eastAsia" w:ascii="宋体" w:hAnsi="宋体" w:cs="宋体"/>
          <w:bCs/>
          <w:highlight w:val="none"/>
        </w:rPr>
        <w:t>依法缴纳税费证明</w:t>
      </w:r>
      <w:r>
        <w:rPr>
          <w:rFonts w:hint="eastAsia" w:ascii="宋体" w:hAnsi="宋体" w:cs="宋体"/>
          <w:bCs/>
          <w:highlight w:val="none"/>
          <w:lang w:val="en-US" w:eastAsia="zh-CN"/>
        </w:rPr>
        <w:t>材料</w:t>
      </w:r>
      <w:r>
        <w:rPr>
          <w:rFonts w:hint="eastAsia" w:ascii="宋体" w:hAnsi="宋体" w:cs="宋体"/>
          <w:bCs/>
          <w:highlight w:val="none"/>
        </w:rPr>
        <w:t>。</w:t>
      </w:r>
      <w:r>
        <w:rPr>
          <w:rFonts w:hint="eastAsia" w:ascii="宋体" w:hAnsi="宋体" w:cs="宋体"/>
          <w:bCs/>
          <w:highlight w:val="none"/>
          <w:lang w:eastAsia="zh-CN"/>
        </w:rPr>
        <w:t>竞标</w:t>
      </w:r>
      <w:r>
        <w:rPr>
          <w:rFonts w:hint="eastAsia" w:ascii="宋体" w:hAnsi="宋体" w:cs="宋体"/>
          <w:bCs/>
          <w:highlight w:val="none"/>
        </w:rPr>
        <w:t>截止时间前6个月内，</w:t>
      </w:r>
      <w:r>
        <w:rPr>
          <w:rFonts w:hint="eastAsia" w:ascii="宋体" w:hAnsi="宋体" w:cs="宋体"/>
          <w:bCs/>
          <w:highlight w:val="none"/>
          <w:lang w:eastAsia="zh-CN"/>
        </w:rPr>
        <w:t>供应商</w:t>
      </w:r>
      <w:r>
        <w:rPr>
          <w:rFonts w:hint="eastAsia" w:ascii="宋体" w:hAnsi="宋体" w:cs="宋体"/>
          <w:bCs/>
          <w:highlight w:val="none"/>
        </w:rPr>
        <w:t>任意1个月依法缴纳税费证明复印件加盖</w:t>
      </w:r>
      <w:r>
        <w:rPr>
          <w:rFonts w:hint="eastAsia" w:ascii="宋体" w:hAnsi="宋体" w:cs="宋体"/>
          <w:bCs/>
          <w:highlight w:val="none"/>
          <w:lang w:eastAsia="zh-CN"/>
        </w:rPr>
        <w:t>供应商</w:t>
      </w:r>
      <w:r>
        <w:rPr>
          <w:rFonts w:hint="eastAsia" w:ascii="宋体" w:hAnsi="宋体" w:cs="宋体"/>
          <w:bCs/>
          <w:highlight w:val="none"/>
        </w:rPr>
        <w:t>公章。</w:t>
      </w:r>
      <w:r>
        <w:rPr>
          <w:rFonts w:hint="eastAsia" w:ascii="宋体" w:hAnsi="宋体" w:cs="宋体"/>
          <w:bCs/>
          <w:highlight w:val="none"/>
          <w:lang w:eastAsia="zh-CN"/>
        </w:rPr>
        <w:t>供应商</w:t>
      </w:r>
      <w:r>
        <w:rPr>
          <w:rFonts w:hint="eastAsia" w:ascii="宋体" w:hAnsi="宋体" w:cs="宋体"/>
          <w:bCs/>
          <w:highlight w:val="none"/>
        </w:rPr>
        <w:t>成立不足1个月的，无须提供缴纳税费证明加盖</w:t>
      </w:r>
      <w:r>
        <w:rPr>
          <w:rFonts w:hint="eastAsia" w:ascii="宋体" w:hAnsi="宋体" w:cs="宋体"/>
          <w:bCs/>
          <w:highlight w:val="none"/>
          <w:lang w:eastAsia="zh-CN"/>
        </w:rPr>
        <w:t>供应商</w:t>
      </w:r>
      <w:r>
        <w:rPr>
          <w:rFonts w:hint="eastAsia" w:ascii="宋体" w:hAnsi="宋体" w:cs="宋体"/>
          <w:bCs/>
          <w:highlight w:val="none"/>
        </w:rPr>
        <w:t>公章。依法免税的</w:t>
      </w:r>
      <w:r>
        <w:rPr>
          <w:rFonts w:hint="eastAsia" w:ascii="宋体" w:hAnsi="宋体" w:cs="宋体"/>
          <w:bCs/>
          <w:highlight w:val="none"/>
          <w:lang w:eastAsia="zh-CN"/>
        </w:rPr>
        <w:t>供应商</w:t>
      </w:r>
      <w:r>
        <w:rPr>
          <w:rFonts w:hint="eastAsia" w:ascii="宋体" w:hAnsi="宋体" w:cs="宋体"/>
          <w:bCs/>
          <w:highlight w:val="none"/>
        </w:rPr>
        <w:t>，须提供相应文件证明其依法免税。</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公章）（必须提供）</w:t>
      </w:r>
    </w:p>
    <w:p w14:paraId="6BE10A0D">
      <w:pPr>
        <w:snapToGrid w:val="0"/>
        <w:spacing w:line="380" w:lineRule="exact"/>
        <w:jc w:val="left"/>
        <w:rPr>
          <w:rFonts w:ascii="宋体" w:hAnsi="宋体" w:cs="宋体"/>
          <w:bCs/>
          <w:highlight w:val="none"/>
        </w:rPr>
      </w:pPr>
    </w:p>
    <w:p w14:paraId="59FE368F">
      <w:pPr>
        <w:snapToGrid w:val="0"/>
        <w:spacing w:line="380" w:lineRule="exact"/>
        <w:jc w:val="left"/>
        <w:rPr>
          <w:rFonts w:ascii="宋体" w:hAnsi="宋体" w:cs="宋体"/>
          <w:bCs/>
          <w:highlight w:val="none"/>
        </w:rPr>
      </w:pPr>
      <w:r>
        <w:rPr>
          <w:rFonts w:hint="eastAsia" w:ascii="宋体" w:hAnsi="宋体" w:cs="宋体"/>
          <w:b/>
          <w:highlight w:val="none"/>
          <w:lang w:val="en-US" w:eastAsia="zh-CN"/>
        </w:rPr>
        <w:t>7</w:t>
      </w:r>
      <w:r>
        <w:rPr>
          <w:rFonts w:hint="eastAsia" w:ascii="宋体" w:hAnsi="宋体" w:cs="宋体"/>
          <w:b/>
          <w:highlight w:val="none"/>
        </w:rPr>
        <w:t>-4.</w:t>
      </w:r>
      <w:r>
        <w:rPr>
          <w:rFonts w:hint="eastAsia" w:ascii="宋体" w:hAnsi="宋体" w:cs="宋体"/>
          <w:bCs/>
          <w:highlight w:val="none"/>
        </w:rPr>
        <w:t>依法缴纳社会保险缴纳证明材料。协商截止时间前6个月内，</w:t>
      </w:r>
      <w:r>
        <w:rPr>
          <w:rFonts w:hint="eastAsia" w:ascii="宋体" w:hAnsi="宋体" w:cs="宋体"/>
          <w:bCs/>
          <w:highlight w:val="none"/>
          <w:lang w:eastAsia="zh-CN"/>
        </w:rPr>
        <w:t>供应商</w:t>
      </w:r>
      <w:r>
        <w:rPr>
          <w:rFonts w:hint="eastAsia" w:ascii="宋体" w:hAnsi="宋体" w:cs="宋体"/>
          <w:bCs/>
          <w:highlight w:val="none"/>
        </w:rPr>
        <w:t>任意1个月的社保缴费证明记录复印件加盖</w:t>
      </w:r>
      <w:r>
        <w:rPr>
          <w:rFonts w:hint="eastAsia" w:ascii="宋体" w:hAnsi="宋体" w:cs="宋体"/>
          <w:bCs/>
          <w:highlight w:val="none"/>
          <w:lang w:eastAsia="zh-CN"/>
        </w:rPr>
        <w:t>供应商</w:t>
      </w:r>
      <w:r>
        <w:rPr>
          <w:rFonts w:hint="eastAsia" w:ascii="宋体" w:hAnsi="宋体" w:cs="宋体"/>
          <w:bCs/>
          <w:highlight w:val="none"/>
        </w:rPr>
        <w:t>公章。</w:t>
      </w:r>
      <w:r>
        <w:rPr>
          <w:rFonts w:hint="eastAsia" w:ascii="宋体" w:hAnsi="宋体" w:cs="宋体"/>
          <w:bCs/>
          <w:highlight w:val="none"/>
          <w:lang w:eastAsia="zh-CN"/>
        </w:rPr>
        <w:t>供应商</w:t>
      </w:r>
      <w:r>
        <w:rPr>
          <w:rFonts w:hint="eastAsia" w:ascii="宋体" w:hAnsi="宋体" w:cs="宋体"/>
          <w:bCs/>
          <w:highlight w:val="none"/>
        </w:rPr>
        <w:t>成立不足1个月的，无须提供缴纳社保缴费证明加盖</w:t>
      </w:r>
      <w:r>
        <w:rPr>
          <w:rFonts w:hint="eastAsia" w:ascii="宋体" w:hAnsi="宋体" w:cs="宋体"/>
          <w:bCs/>
          <w:highlight w:val="none"/>
          <w:lang w:eastAsia="zh-CN"/>
        </w:rPr>
        <w:t>供应商</w:t>
      </w:r>
      <w:r>
        <w:rPr>
          <w:rFonts w:hint="eastAsia" w:ascii="宋体" w:hAnsi="宋体" w:cs="宋体"/>
          <w:bCs/>
          <w:highlight w:val="none"/>
        </w:rPr>
        <w:t>公章。依法免缴纳社会保障资金的</w:t>
      </w:r>
      <w:r>
        <w:rPr>
          <w:rFonts w:hint="eastAsia" w:ascii="宋体" w:hAnsi="宋体" w:cs="宋体"/>
          <w:bCs/>
          <w:highlight w:val="none"/>
          <w:lang w:eastAsia="zh-CN"/>
        </w:rPr>
        <w:t>供应商</w:t>
      </w:r>
      <w:r>
        <w:rPr>
          <w:rFonts w:hint="eastAsia" w:ascii="宋体" w:hAnsi="宋体" w:cs="宋体"/>
          <w:bCs/>
          <w:highlight w:val="none"/>
        </w:rPr>
        <w:t>，须提供相应文件证明其依法免缴纳社会保障资金。</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公章）（必须提供）</w:t>
      </w:r>
    </w:p>
    <w:p w14:paraId="682BEB86">
      <w:pPr>
        <w:spacing w:line="380" w:lineRule="exact"/>
        <w:rPr>
          <w:rFonts w:ascii="宋体" w:hAnsi="宋体" w:cs="宋体"/>
          <w:b/>
          <w:highlight w:val="none"/>
        </w:rPr>
      </w:pPr>
    </w:p>
    <w:p w14:paraId="258421F6">
      <w:pPr>
        <w:spacing w:line="380" w:lineRule="exact"/>
        <w:rPr>
          <w:rFonts w:ascii="宋体" w:hAnsi="宋体" w:cs="宋体"/>
          <w:b/>
          <w:highlight w:val="none"/>
        </w:rPr>
      </w:pPr>
      <w:r>
        <w:rPr>
          <w:rFonts w:hint="eastAsia" w:ascii="宋体" w:hAnsi="宋体" w:cs="宋体"/>
          <w:b/>
          <w:highlight w:val="none"/>
          <w:lang w:val="en-US" w:eastAsia="zh-CN"/>
        </w:rPr>
        <w:t>7</w:t>
      </w:r>
      <w:r>
        <w:rPr>
          <w:rFonts w:hint="eastAsia" w:ascii="宋体" w:hAnsi="宋体" w:cs="宋体"/>
          <w:b/>
          <w:highlight w:val="none"/>
        </w:rPr>
        <w:t>-5.</w:t>
      </w:r>
      <w:r>
        <w:rPr>
          <w:rFonts w:hint="eastAsia" w:ascii="宋体" w:hAnsi="宋体" w:cs="宋体"/>
          <w:bCs/>
          <w:highlight w:val="none"/>
        </w:rPr>
        <w:t>信用信息</w:t>
      </w:r>
      <w:r>
        <w:rPr>
          <w:rFonts w:hint="eastAsia" w:ascii="宋体" w:hAnsi="宋体" w:cs="宋体"/>
          <w:b/>
          <w:highlight w:val="none"/>
        </w:rPr>
        <w:t>（必须提供）</w:t>
      </w:r>
    </w:p>
    <w:p w14:paraId="4DC2AFA2">
      <w:pPr>
        <w:adjustRightInd w:val="0"/>
        <w:snapToGrid w:val="0"/>
        <w:spacing w:line="380" w:lineRule="exact"/>
        <w:ind w:firstLine="420" w:firstLineChars="200"/>
        <w:jc w:val="left"/>
        <w:rPr>
          <w:rFonts w:ascii="宋体" w:hAnsi="宋体" w:cs="宋体"/>
          <w:highlight w:val="none"/>
        </w:rPr>
      </w:pPr>
      <w:r>
        <w:rPr>
          <w:rFonts w:hint="eastAsia" w:ascii="宋体" w:hAnsi="宋体" w:cs="宋体"/>
          <w:bCs/>
          <w:highlight w:val="none"/>
        </w:rPr>
        <w:t>信用信息证明材料。</w:t>
      </w:r>
      <w:r>
        <w:rPr>
          <w:rFonts w:hint="eastAsia" w:ascii="宋体" w:hAnsi="宋体" w:cs="宋体"/>
          <w:highlight w:val="none"/>
          <w:lang w:eastAsia="zh-CN"/>
        </w:rPr>
        <w:t>供应商</w:t>
      </w:r>
      <w:r>
        <w:rPr>
          <w:rFonts w:hint="eastAsia" w:ascii="宋体" w:hAnsi="宋体" w:cs="宋体"/>
          <w:highlight w:val="none"/>
        </w:rPr>
        <w:t>可在“信用中国”网站（www.creditchina.gov.cn）查询</w:t>
      </w:r>
      <w:r>
        <w:rPr>
          <w:rFonts w:hint="eastAsia" w:ascii="宋体" w:hAnsi="宋体" w:cs="宋体"/>
          <w:highlight w:val="none"/>
          <w:lang w:eastAsia="zh-CN"/>
        </w:rPr>
        <w:t>供应商</w:t>
      </w:r>
      <w:r>
        <w:rPr>
          <w:rFonts w:hint="eastAsia" w:ascii="宋体" w:hAnsi="宋体" w:cs="宋体"/>
          <w:highlight w:val="none"/>
        </w:rPr>
        <w:t>主体信用记录</w:t>
      </w:r>
      <w:r>
        <w:rPr>
          <w:rFonts w:hint="eastAsia" w:ascii="宋体" w:hAnsi="宋体" w:cs="宋体"/>
          <w:b/>
          <w:bCs/>
          <w:highlight w:val="none"/>
        </w:rPr>
        <w:t>（网站查询记录必须提供）</w:t>
      </w:r>
      <w:r>
        <w:rPr>
          <w:rFonts w:hint="eastAsia" w:ascii="宋体" w:hAnsi="宋体" w:cs="宋体"/>
          <w:highlight w:val="none"/>
        </w:rPr>
        <w:t>。</w:t>
      </w:r>
    </w:p>
    <w:p w14:paraId="10915CD5">
      <w:pPr>
        <w:pStyle w:val="25"/>
        <w:tabs>
          <w:tab w:val="left" w:pos="2127"/>
        </w:tabs>
        <w:spacing w:line="380" w:lineRule="exact"/>
        <w:ind w:firstLine="420" w:firstLineChars="200"/>
        <w:rPr>
          <w:rFonts w:hAnsi="宋体" w:eastAsia="宋体"/>
          <w:highlight w:val="none"/>
        </w:rPr>
      </w:pPr>
      <w:r>
        <w:rPr>
          <w:rFonts w:hint="eastAsia" w:hAnsi="宋体" w:eastAsia="宋体"/>
          <w:kern w:val="0"/>
          <w:highlight w:val="none"/>
        </w:rPr>
        <w:t>信用信息查询结果网页打印件（查询结果网页打印件并加盖公章）</w:t>
      </w:r>
    </w:p>
    <w:p w14:paraId="5513D128">
      <w:pPr>
        <w:pStyle w:val="25"/>
        <w:tabs>
          <w:tab w:val="left" w:pos="2127"/>
        </w:tabs>
        <w:spacing w:line="380" w:lineRule="exact"/>
        <w:ind w:firstLine="420" w:firstLineChars="200"/>
        <w:rPr>
          <w:rFonts w:hAnsi="宋体" w:eastAsia="宋体"/>
          <w:highlight w:val="none"/>
        </w:rPr>
      </w:pPr>
      <w:r>
        <w:rPr>
          <w:rFonts w:hint="eastAsia" w:hAnsi="宋体" w:eastAsia="宋体"/>
          <w:highlight w:val="none"/>
        </w:rPr>
        <w:t>网页</w:t>
      </w:r>
      <w:r>
        <w:rPr>
          <w:rFonts w:hint="eastAsia" w:hAnsi="宋体" w:eastAsia="宋体"/>
          <w:kern w:val="0"/>
          <w:highlight w:val="none"/>
        </w:rPr>
        <w:t>打印件</w:t>
      </w:r>
      <w:r>
        <w:rPr>
          <w:rFonts w:hint="eastAsia" w:hAnsi="宋体" w:eastAsia="宋体"/>
          <w:highlight w:val="none"/>
        </w:rPr>
        <w:t>须显示</w:t>
      </w:r>
      <w:r>
        <w:rPr>
          <w:rFonts w:hint="eastAsia" w:hAnsi="宋体" w:eastAsia="宋体"/>
          <w:highlight w:val="none"/>
          <w:lang w:eastAsia="zh-CN"/>
        </w:rPr>
        <w:t>供应商</w:t>
      </w:r>
      <w:r>
        <w:rPr>
          <w:rFonts w:hint="eastAsia" w:hAnsi="宋体" w:eastAsia="宋体"/>
          <w:highlight w:val="none"/>
        </w:rPr>
        <w:t>名称以及“失信被执行人”、“</w:t>
      </w:r>
      <w:r>
        <w:rPr>
          <w:rFonts w:ascii="Times New Roman" w:hAnsi="Times New Roman" w:cs="Times New Roman" w:eastAsiaTheme="minorEastAsia"/>
          <w:kern w:val="0"/>
          <w:highlight w:val="none"/>
        </w:rPr>
        <w:t>重大税收违法失信主体</w:t>
      </w:r>
      <w:r>
        <w:rPr>
          <w:rFonts w:hint="eastAsia" w:hAnsi="宋体" w:eastAsia="宋体"/>
          <w:highlight w:val="none"/>
        </w:rPr>
        <w:t>”查询结果、打印时间或查询时间。</w:t>
      </w:r>
    </w:p>
    <w:p w14:paraId="187C487C">
      <w:pPr>
        <w:pStyle w:val="13"/>
        <w:spacing w:line="380" w:lineRule="exact"/>
        <w:ind w:left="0"/>
        <w:rPr>
          <w:rFonts w:ascii="宋体" w:hAnsi="宋体" w:cs="宋体"/>
          <w:highlight w:val="none"/>
        </w:rPr>
      </w:pPr>
    </w:p>
    <w:p w14:paraId="54065092">
      <w:pPr>
        <w:pStyle w:val="13"/>
        <w:ind w:left="0"/>
        <w:rPr>
          <w:rFonts w:ascii="宋体" w:hAnsi="宋体" w:cs="宋体"/>
          <w:b/>
          <w:highlight w:val="none"/>
        </w:rPr>
      </w:pPr>
    </w:p>
    <w:p w14:paraId="0FC36C96">
      <w:pPr>
        <w:pStyle w:val="13"/>
        <w:ind w:left="0"/>
        <w:rPr>
          <w:rFonts w:ascii="Arial" w:hAnsi="Arial" w:cs="Arial"/>
          <w:highlight w:val="none"/>
        </w:rPr>
      </w:pPr>
      <w:r>
        <w:rPr>
          <w:rFonts w:hint="eastAsia" w:ascii="Arial" w:hAnsi="Arial" w:cs="Arial"/>
          <w:highlight w:val="none"/>
        </w:rPr>
        <w:t>信用中国</w:t>
      </w:r>
      <w:r>
        <w:rPr>
          <w:rFonts w:ascii="Arial" w:hAnsi="Arial" w:cs="Arial"/>
          <w:highlight w:val="none"/>
        </w:rPr>
        <w:t>失信被执行人</w:t>
      </w:r>
      <w:r>
        <w:rPr>
          <w:rFonts w:hint="eastAsia" w:ascii="Arial" w:hAnsi="Arial" w:cs="Arial"/>
          <w:highlight w:val="none"/>
        </w:rPr>
        <w:t>查询示意图</w:t>
      </w:r>
    </w:p>
    <w:p w14:paraId="3C39821C">
      <w:pPr>
        <w:rPr>
          <w:highlight w:val="none"/>
        </w:rPr>
      </w:pPr>
      <w:r>
        <w:rPr>
          <w:rFonts w:hint="eastAsia"/>
          <w:highlight w:val="none"/>
        </w:rPr>
        <w:drawing>
          <wp:inline distT="0" distB="0" distL="114300" distR="114300">
            <wp:extent cx="5822950" cy="3689985"/>
            <wp:effectExtent l="0" t="0" r="6350" b="5715"/>
            <wp:docPr id="3" name="图片 3" descr="1721122455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721122455748"/>
                    <pic:cNvPicPr>
                      <a:picLocks noChangeAspect="1"/>
                    </pic:cNvPicPr>
                  </pic:nvPicPr>
                  <pic:blipFill>
                    <a:blip r:embed="rId11"/>
                    <a:stretch>
                      <a:fillRect/>
                    </a:stretch>
                  </pic:blipFill>
                  <pic:spPr>
                    <a:xfrm>
                      <a:off x="0" y="0"/>
                      <a:ext cx="5822950" cy="3689985"/>
                    </a:xfrm>
                    <a:prstGeom prst="rect">
                      <a:avLst/>
                    </a:prstGeom>
                  </pic:spPr>
                </pic:pic>
              </a:graphicData>
            </a:graphic>
          </wp:inline>
        </w:drawing>
      </w:r>
    </w:p>
    <w:p w14:paraId="5BE23FE3">
      <w:pPr>
        <w:rPr>
          <w:highlight w:val="none"/>
        </w:rPr>
      </w:pPr>
      <w:r>
        <w:rPr>
          <w:rFonts w:hint="eastAsia"/>
          <w:highlight w:val="none"/>
        </w:rPr>
        <w:drawing>
          <wp:inline distT="0" distB="0" distL="114300" distR="114300">
            <wp:extent cx="5827395" cy="4164965"/>
            <wp:effectExtent l="0" t="0" r="1905" b="6985"/>
            <wp:docPr id="4" name="图片 4" descr="1721123295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21123295230"/>
                    <pic:cNvPicPr>
                      <a:picLocks noChangeAspect="1"/>
                    </pic:cNvPicPr>
                  </pic:nvPicPr>
                  <pic:blipFill>
                    <a:blip r:embed="rId12"/>
                    <a:stretch>
                      <a:fillRect/>
                    </a:stretch>
                  </pic:blipFill>
                  <pic:spPr>
                    <a:xfrm>
                      <a:off x="0" y="0"/>
                      <a:ext cx="5827395" cy="4164965"/>
                    </a:xfrm>
                    <a:prstGeom prst="rect">
                      <a:avLst/>
                    </a:prstGeom>
                  </pic:spPr>
                </pic:pic>
              </a:graphicData>
            </a:graphic>
          </wp:inline>
        </w:drawing>
      </w:r>
    </w:p>
    <w:p w14:paraId="60672ADE">
      <w:pPr>
        <w:pStyle w:val="15"/>
        <w:rPr>
          <w:highlight w:val="none"/>
        </w:rPr>
      </w:pPr>
      <w:r>
        <w:rPr>
          <w:rFonts w:hint="eastAsia"/>
          <w:highlight w:val="none"/>
        </w:rPr>
        <w:drawing>
          <wp:inline distT="0" distB="0" distL="114300" distR="114300">
            <wp:extent cx="5419725" cy="5039995"/>
            <wp:effectExtent l="0" t="0" r="9525" b="8255"/>
            <wp:docPr id="5" name="图片 5" descr="1721123615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21123615301"/>
                    <pic:cNvPicPr>
                      <a:picLocks noChangeAspect="1"/>
                    </pic:cNvPicPr>
                  </pic:nvPicPr>
                  <pic:blipFill>
                    <a:blip r:embed="rId13"/>
                    <a:stretch>
                      <a:fillRect/>
                    </a:stretch>
                  </pic:blipFill>
                  <pic:spPr>
                    <a:xfrm>
                      <a:off x="0" y="0"/>
                      <a:ext cx="5419725" cy="5039995"/>
                    </a:xfrm>
                    <a:prstGeom prst="rect">
                      <a:avLst/>
                    </a:prstGeom>
                  </pic:spPr>
                </pic:pic>
              </a:graphicData>
            </a:graphic>
          </wp:inline>
        </w:drawing>
      </w:r>
    </w:p>
    <w:p w14:paraId="3FF19304">
      <w:pPr>
        <w:pStyle w:val="2"/>
        <w:kinsoku w:val="0"/>
        <w:overflowPunct w:val="0"/>
        <w:spacing w:after="0" w:line="240" w:lineRule="exact"/>
        <w:rPr>
          <w:rFonts w:ascii="Arial" w:hAnsi="Arial" w:cs="Arial"/>
          <w:highlight w:val="none"/>
        </w:rPr>
      </w:pPr>
      <w:r>
        <w:rPr>
          <w:rFonts w:hint="eastAsia" w:ascii="Arial" w:hAnsi="Arial" w:cs="Arial"/>
          <w:highlight w:val="none"/>
        </w:rPr>
        <w:t>打印时勾选页眉和页脚，显示查询时间</w:t>
      </w:r>
    </w:p>
    <w:p w14:paraId="3DC327F5">
      <w:pPr>
        <w:spacing w:line="240" w:lineRule="exact"/>
        <w:rPr>
          <w:highlight w:val="none"/>
        </w:rPr>
      </w:pPr>
    </w:p>
    <w:p w14:paraId="50B0786E">
      <w:pPr>
        <w:pStyle w:val="13"/>
        <w:spacing w:line="240" w:lineRule="exact"/>
        <w:ind w:left="0"/>
        <w:rPr>
          <w:highlight w:val="none"/>
        </w:rPr>
      </w:pPr>
      <w:r>
        <w:rPr>
          <w:rFonts w:eastAsiaTheme="minorEastAsia"/>
          <w:kern w:val="0"/>
          <w:highlight w:val="none"/>
        </w:rPr>
        <w:t>重大税收违法失信主体</w:t>
      </w:r>
      <w:r>
        <w:rPr>
          <w:rFonts w:hint="eastAsia" w:ascii="Arial" w:hAnsi="Arial" w:cs="Arial"/>
          <w:highlight w:val="none"/>
        </w:rPr>
        <w:t>查询示意图</w:t>
      </w:r>
    </w:p>
    <w:p w14:paraId="6E0E536D">
      <w:pPr>
        <w:jc w:val="left"/>
        <w:rPr>
          <w:highlight w:val="none"/>
        </w:rPr>
      </w:pPr>
      <w:r>
        <w:rPr>
          <w:rFonts w:ascii="宋体" w:hAnsi="宋体" w:cs="宋体"/>
          <w:sz w:val="24"/>
          <w:szCs w:val="24"/>
          <w:highlight w:val="none"/>
        </w:rPr>
        <w:drawing>
          <wp:inline distT="0" distB="0" distL="114300" distR="114300">
            <wp:extent cx="5311775" cy="3031490"/>
            <wp:effectExtent l="0" t="0" r="6985" b="1270"/>
            <wp:docPr id="6"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descr="IMG_256"/>
                    <pic:cNvPicPr>
                      <a:picLocks noChangeAspect="1"/>
                    </pic:cNvPicPr>
                  </pic:nvPicPr>
                  <pic:blipFill>
                    <a:blip r:embed="rId14"/>
                    <a:stretch>
                      <a:fillRect/>
                    </a:stretch>
                  </pic:blipFill>
                  <pic:spPr>
                    <a:xfrm>
                      <a:off x="0" y="0"/>
                      <a:ext cx="5311775" cy="3031490"/>
                    </a:xfrm>
                    <a:prstGeom prst="rect">
                      <a:avLst/>
                    </a:prstGeom>
                    <a:noFill/>
                    <a:ln w="9525">
                      <a:noFill/>
                    </a:ln>
                  </pic:spPr>
                </pic:pic>
              </a:graphicData>
            </a:graphic>
          </wp:inline>
        </w:drawing>
      </w:r>
    </w:p>
    <w:p w14:paraId="2B95994F">
      <w:pPr>
        <w:jc w:val="left"/>
        <w:rPr>
          <w:highlight w:val="none"/>
        </w:rPr>
      </w:pPr>
      <w:r>
        <w:rPr>
          <w:rFonts w:ascii="宋体" w:hAnsi="宋体" w:cs="宋体"/>
          <w:sz w:val="24"/>
          <w:szCs w:val="24"/>
          <w:highlight w:val="none"/>
        </w:rPr>
        <w:drawing>
          <wp:inline distT="0" distB="0" distL="114300" distR="114300">
            <wp:extent cx="5374005" cy="3453130"/>
            <wp:effectExtent l="0" t="0" r="0" b="6350"/>
            <wp:docPr id="8"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IMG_256"/>
                    <pic:cNvPicPr>
                      <a:picLocks noChangeAspect="1"/>
                    </pic:cNvPicPr>
                  </pic:nvPicPr>
                  <pic:blipFill>
                    <a:blip r:embed="rId15"/>
                    <a:stretch>
                      <a:fillRect/>
                    </a:stretch>
                  </pic:blipFill>
                  <pic:spPr>
                    <a:xfrm>
                      <a:off x="0" y="0"/>
                      <a:ext cx="5374005" cy="3453130"/>
                    </a:xfrm>
                    <a:prstGeom prst="rect">
                      <a:avLst/>
                    </a:prstGeom>
                    <a:noFill/>
                    <a:ln w="9525">
                      <a:noFill/>
                    </a:ln>
                  </pic:spPr>
                </pic:pic>
              </a:graphicData>
            </a:graphic>
          </wp:inline>
        </w:drawing>
      </w:r>
    </w:p>
    <w:p w14:paraId="3734EB1A">
      <w:pPr>
        <w:jc w:val="left"/>
        <w:rPr>
          <w:highlight w:val="none"/>
        </w:rPr>
      </w:pPr>
      <w:r>
        <w:rPr>
          <w:rFonts w:ascii="宋体" w:hAnsi="宋体" w:cs="宋体"/>
          <w:sz w:val="24"/>
          <w:szCs w:val="24"/>
          <w:highlight w:val="none"/>
        </w:rPr>
        <w:drawing>
          <wp:inline distT="0" distB="0" distL="114300" distR="114300">
            <wp:extent cx="4377055" cy="4859020"/>
            <wp:effectExtent l="0" t="0" r="12065" b="2540"/>
            <wp:docPr id="9"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descr="IMG_256"/>
                    <pic:cNvPicPr>
                      <a:picLocks noChangeAspect="1"/>
                    </pic:cNvPicPr>
                  </pic:nvPicPr>
                  <pic:blipFill>
                    <a:blip r:embed="rId16"/>
                    <a:stretch>
                      <a:fillRect/>
                    </a:stretch>
                  </pic:blipFill>
                  <pic:spPr>
                    <a:xfrm>
                      <a:off x="0" y="0"/>
                      <a:ext cx="4377055" cy="4859020"/>
                    </a:xfrm>
                    <a:prstGeom prst="rect">
                      <a:avLst/>
                    </a:prstGeom>
                    <a:noFill/>
                    <a:ln w="9525">
                      <a:noFill/>
                    </a:ln>
                  </pic:spPr>
                </pic:pic>
              </a:graphicData>
            </a:graphic>
          </wp:inline>
        </w:drawing>
      </w:r>
    </w:p>
    <w:p w14:paraId="184F30D4">
      <w:pPr>
        <w:snapToGrid w:val="0"/>
        <w:spacing w:before="50" w:after="156" w:afterLines="50" w:line="400" w:lineRule="exact"/>
        <w:jc w:val="left"/>
        <w:rPr>
          <w:rFonts w:ascii="Arial" w:hAnsi="Arial" w:cs="Arial"/>
          <w:highlight w:val="none"/>
        </w:rPr>
      </w:pPr>
      <w:r>
        <w:rPr>
          <w:rFonts w:hint="eastAsia" w:ascii="Arial" w:hAnsi="Arial" w:cs="Arial"/>
          <w:highlight w:val="none"/>
        </w:rPr>
        <w:t>打印时勾选页眉和页脚，显示查询时间</w:t>
      </w:r>
    </w:p>
    <w:p w14:paraId="3F202482">
      <w:pPr>
        <w:jc w:val="left"/>
        <w:rPr>
          <w:rFonts w:ascii="Arial" w:hAnsi="Arial" w:cs="Arial"/>
          <w:highlight w:val="none"/>
        </w:rPr>
      </w:pPr>
      <w:r>
        <w:rPr>
          <w:rFonts w:hint="eastAsia" w:ascii="Arial" w:hAnsi="Arial" w:cs="Arial"/>
          <w:highlight w:val="none"/>
        </w:rPr>
        <w:br w:type="page"/>
      </w:r>
    </w:p>
    <w:p w14:paraId="2ED534E8">
      <w:pPr>
        <w:spacing w:line="380" w:lineRule="exact"/>
        <w:rPr>
          <w:rFonts w:ascii="宋体" w:hAnsi="宋体" w:cs="宋体"/>
          <w:b/>
          <w:highlight w:val="none"/>
        </w:rPr>
      </w:pPr>
      <w:r>
        <w:rPr>
          <w:rFonts w:hint="eastAsia" w:ascii="宋体" w:hAnsi="宋体" w:cs="宋体"/>
          <w:b/>
          <w:highlight w:val="none"/>
          <w:lang w:val="en-US" w:eastAsia="zh-CN"/>
        </w:rPr>
        <w:t>7-</w:t>
      </w:r>
      <w:r>
        <w:rPr>
          <w:rFonts w:hint="eastAsia" w:ascii="宋体" w:hAnsi="宋体" w:cs="宋体"/>
          <w:b/>
          <w:highlight w:val="none"/>
        </w:rPr>
        <w:t>6.</w:t>
      </w:r>
      <w:r>
        <w:rPr>
          <w:rFonts w:hint="eastAsia" w:ascii="宋体" w:hAnsi="宋体" w:cs="宋体"/>
          <w:bCs/>
          <w:highlight w:val="none"/>
        </w:rPr>
        <w:t>具备法律、行政法规规定的其他要求的证明材料。</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公章）（如磋商文件有要求时必须提供）</w:t>
      </w:r>
    </w:p>
    <w:p w14:paraId="5AD493C6">
      <w:pPr>
        <w:spacing w:line="380" w:lineRule="exact"/>
        <w:rPr>
          <w:rFonts w:ascii="宋体" w:hAnsi="宋体" w:cs="宋体"/>
          <w:b/>
          <w:highlight w:val="none"/>
        </w:rPr>
      </w:pPr>
    </w:p>
    <w:p w14:paraId="61776EF3">
      <w:pPr>
        <w:spacing w:line="380" w:lineRule="exact"/>
        <w:rPr>
          <w:rFonts w:ascii="宋体" w:hAnsi="宋体" w:cs="宋体"/>
          <w:b/>
          <w:highlight w:val="none"/>
        </w:rPr>
      </w:pPr>
      <w:r>
        <w:rPr>
          <w:rFonts w:hint="eastAsia" w:ascii="宋体" w:hAnsi="宋体" w:cs="宋体"/>
          <w:b/>
          <w:highlight w:val="none"/>
          <w:lang w:val="en-US" w:eastAsia="zh-CN"/>
        </w:rPr>
        <w:t>7</w:t>
      </w:r>
      <w:r>
        <w:rPr>
          <w:rFonts w:hint="eastAsia" w:ascii="宋体" w:hAnsi="宋体" w:cs="宋体"/>
          <w:b/>
          <w:highlight w:val="none"/>
        </w:rPr>
        <w:t>-7.</w:t>
      </w:r>
      <w:r>
        <w:rPr>
          <w:rFonts w:hint="eastAsia" w:ascii="宋体" w:hAnsi="宋体" w:cs="宋体"/>
          <w:bCs/>
          <w:highlight w:val="none"/>
        </w:rPr>
        <w:t>满足</w:t>
      </w:r>
      <w:r>
        <w:rPr>
          <w:rFonts w:hint="eastAsia" w:ascii="宋体" w:hAnsi="宋体" w:cs="宋体"/>
          <w:bCs/>
          <w:highlight w:val="none"/>
          <w:lang w:eastAsia="zh-CN"/>
        </w:rPr>
        <w:t>供应商</w:t>
      </w:r>
      <w:r>
        <w:rPr>
          <w:rFonts w:hint="eastAsia" w:ascii="宋体" w:hAnsi="宋体" w:cs="宋体"/>
          <w:bCs/>
          <w:highlight w:val="none"/>
        </w:rPr>
        <w:t>特定资格条件的其他证明材料加盖</w:t>
      </w:r>
      <w:r>
        <w:rPr>
          <w:rFonts w:hint="eastAsia" w:ascii="宋体" w:hAnsi="宋体" w:cs="宋体"/>
          <w:bCs/>
          <w:highlight w:val="none"/>
          <w:lang w:eastAsia="zh-CN"/>
        </w:rPr>
        <w:t>供应商</w:t>
      </w:r>
      <w:r>
        <w:rPr>
          <w:rFonts w:hint="eastAsia" w:ascii="宋体" w:hAnsi="宋体" w:cs="宋体"/>
          <w:bCs/>
          <w:highlight w:val="none"/>
        </w:rPr>
        <w:t>公章。</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公章）（如磋商文件有要求时必须提供）</w:t>
      </w:r>
    </w:p>
    <w:p w14:paraId="0BC0AE48">
      <w:pPr>
        <w:spacing w:line="380" w:lineRule="exact"/>
        <w:rPr>
          <w:rFonts w:ascii="宋体" w:hAnsi="宋体" w:cs="宋体"/>
          <w:b/>
          <w:highlight w:val="none"/>
        </w:rPr>
      </w:pPr>
    </w:p>
    <w:p w14:paraId="23954394">
      <w:pPr>
        <w:spacing w:line="380" w:lineRule="exact"/>
        <w:rPr>
          <w:rFonts w:ascii="宋体" w:hAnsi="宋体" w:cs="宋体"/>
          <w:bCs/>
          <w:highlight w:val="none"/>
        </w:rPr>
      </w:pPr>
      <w:r>
        <w:rPr>
          <w:rFonts w:hint="eastAsia" w:ascii="宋体" w:hAnsi="宋体" w:cs="宋体"/>
          <w:b/>
          <w:highlight w:val="none"/>
          <w:lang w:val="en-US" w:eastAsia="zh-CN"/>
        </w:rPr>
        <w:t>7</w:t>
      </w:r>
      <w:r>
        <w:rPr>
          <w:rFonts w:hint="eastAsia" w:ascii="宋体" w:hAnsi="宋体" w:cs="宋体"/>
          <w:b/>
          <w:highlight w:val="none"/>
        </w:rPr>
        <w:t>-8.</w:t>
      </w:r>
      <w:r>
        <w:rPr>
          <w:rFonts w:hint="eastAsia" w:ascii="宋体" w:hAnsi="宋体" w:cs="宋体"/>
          <w:bCs/>
          <w:highlight w:val="none"/>
          <w:lang w:eastAsia="zh-CN"/>
        </w:rPr>
        <w:t>供应商</w:t>
      </w:r>
      <w:r>
        <w:rPr>
          <w:rFonts w:hint="eastAsia" w:ascii="宋体" w:hAnsi="宋体" w:cs="宋体"/>
          <w:bCs/>
          <w:highlight w:val="none"/>
        </w:rPr>
        <w:t>认为应当要提交的资格证明材料。</w:t>
      </w:r>
      <w:r>
        <w:rPr>
          <w:rFonts w:hint="eastAsia" w:ascii="宋体" w:hAnsi="宋体" w:cs="宋体"/>
          <w:b/>
          <w:highlight w:val="none"/>
        </w:rPr>
        <w:t>（加盖</w:t>
      </w:r>
      <w:r>
        <w:rPr>
          <w:rFonts w:hint="eastAsia" w:ascii="宋体" w:hAnsi="宋体" w:cs="宋体"/>
          <w:b/>
          <w:highlight w:val="none"/>
          <w:lang w:eastAsia="zh-CN"/>
        </w:rPr>
        <w:t>供应商</w:t>
      </w:r>
      <w:r>
        <w:rPr>
          <w:rFonts w:hint="eastAsia" w:ascii="宋体" w:hAnsi="宋体" w:cs="宋体"/>
          <w:b/>
          <w:highlight w:val="none"/>
        </w:rPr>
        <w:t>公章）</w:t>
      </w:r>
    </w:p>
    <w:p w14:paraId="6D9C92AD">
      <w:pPr>
        <w:rPr>
          <w:highlight w:val="none"/>
        </w:rPr>
      </w:pPr>
      <w:r>
        <w:rPr>
          <w:highlight w:val="none"/>
        </w:rPr>
        <w:br w:type="page"/>
      </w:r>
    </w:p>
    <w:p w14:paraId="359E67D4">
      <w:pPr>
        <w:snapToGrid w:val="0"/>
        <w:spacing w:before="50" w:after="156" w:afterLines="50" w:line="400" w:lineRule="exact"/>
        <w:jc w:val="left"/>
        <w:rPr>
          <w:rFonts w:ascii="宋体" w:hAnsi="宋体" w:cs="宋体"/>
          <w:highlight w:val="none"/>
        </w:rPr>
      </w:pPr>
      <w:r>
        <w:rPr>
          <w:rFonts w:hint="eastAsia" w:ascii="宋体" w:hAnsi="宋体" w:cs="宋体"/>
          <w:b/>
          <w:bCs/>
          <w:highlight w:val="none"/>
          <w:lang w:val="en-US" w:eastAsia="zh-CN"/>
        </w:rPr>
        <w:t>7</w:t>
      </w:r>
      <w:r>
        <w:rPr>
          <w:rFonts w:hint="eastAsia" w:ascii="宋体" w:hAnsi="宋体" w:cs="宋体"/>
          <w:b/>
          <w:bCs/>
          <w:highlight w:val="none"/>
        </w:rPr>
        <w:t>-9.</w:t>
      </w:r>
      <w:r>
        <w:rPr>
          <w:rFonts w:hint="eastAsia" w:ascii="宋体" w:hAnsi="宋体" w:cs="宋体"/>
          <w:b/>
          <w:bCs/>
          <w:highlight w:val="none"/>
          <w:lang w:val="en-US" w:eastAsia="zh-CN"/>
        </w:rPr>
        <w:t>廉洁合规</w:t>
      </w:r>
      <w:r>
        <w:rPr>
          <w:rFonts w:hint="eastAsia" w:ascii="宋体" w:hAnsi="宋体" w:cs="宋体"/>
          <w:b/>
          <w:bCs/>
          <w:highlight w:val="none"/>
        </w:rPr>
        <w:t>承诺书</w:t>
      </w:r>
      <w:r>
        <w:rPr>
          <w:rFonts w:hint="eastAsia" w:ascii="宋体" w:hAnsi="宋体" w:cs="宋体"/>
          <w:b/>
          <w:kern w:val="0"/>
          <w:szCs w:val="22"/>
          <w:highlight w:val="none"/>
        </w:rPr>
        <w:t>（必须提供）</w:t>
      </w:r>
    </w:p>
    <w:p w14:paraId="6E6221D7">
      <w:pPr>
        <w:spacing w:line="480" w:lineRule="auto"/>
        <w:jc w:val="center"/>
        <w:outlineLvl w:val="1"/>
        <w:rPr>
          <w:rFonts w:ascii="宋体" w:hAnsi="宋体" w:cs="宋体"/>
          <w:b/>
          <w:highlight w:val="none"/>
        </w:rPr>
      </w:pPr>
      <w:r>
        <w:rPr>
          <w:rFonts w:hint="eastAsia" w:ascii="宋体" w:hAnsi="宋体" w:cs="宋体"/>
          <w:b/>
          <w:highlight w:val="none"/>
          <w:lang w:val="en-US" w:eastAsia="zh-CN"/>
        </w:rPr>
        <w:t>廉洁合规</w:t>
      </w:r>
      <w:r>
        <w:rPr>
          <w:rFonts w:hint="eastAsia" w:ascii="宋体" w:hAnsi="宋体" w:cs="宋体"/>
          <w:b/>
          <w:highlight w:val="none"/>
        </w:rPr>
        <w:t>承诺书</w:t>
      </w:r>
    </w:p>
    <w:p w14:paraId="3F4B6056">
      <w:pPr>
        <w:spacing w:line="480" w:lineRule="auto"/>
        <w:ind w:right="-153" w:rightChars="-73" w:firstLine="420" w:firstLineChars="200"/>
        <w:rPr>
          <w:highlight w:val="none"/>
        </w:rPr>
      </w:pPr>
    </w:p>
    <w:p w14:paraId="0E2195BF">
      <w:pPr>
        <w:spacing w:line="480" w:lineRule="auto"/>
        <w:ind w:right="-153" w:rightChars="-73" w:firstLine="420" w:firstLineChars="200"/>
        <w:rPr>
          <w:highlight w:val="none"/>
        </w:rPr>
      </w:pPr>
      <w:r>
        <w:rPr>
          <w:highlight w:val="none"/>
        </w:rPr>
        <w:t>为推进桂林银行（以下简称</w:t>
      </w:r>
      <w:r>
        <w:rPr>
          <w:rFonts w:hint="eastAsia"/>
          <w:highlight w:val="none"/>
        </w:rPr>
        <w:t>“</w:t>
      </w:r>
      <w:r>
        <w:rPr>
          <w:highlight w:val="none"/>
        </w:rPr>
        <w:t>甲方</w:t>
      </w:r>
      <w:r>
        <w:rPr>
          <w:rFonts w:hint="eastAsia"/>
          <w:highlight w:val="none"/>
        </w:rPr>
        <w:t>”</w:t>
      </w:r>
      <w:r>
        <w:rPr>
          <w:highlight w:val="none"/>
        </w:rPr>
        <w:t>）项目（以下简称</w:t>
      </w:r>
      <w:r>
        <w:rPr>
          <w:rFonts w:hint="eastAsia"/>
          <w:highlight w:val="none"/>
        </w:rPr>
        <w:t>“</w:t>
      </w:r>
      <w:r>
        <w:rPr>
          <w:highlight w:val="none"/>
        </w:rPr>
        <w:t>项目</w:t>
      </w:r>
      <w:r>
        <w:rPr>
          <w:rFonts w:hint="eastAsia"/>
          <w:highlight w:val="none"/>
        </w:rPr>
        <w:t>”</w:t>
      </w:r>
      <w:r>
        <w:rPr>
          <w:highlight w:val="none"/>
        </w:rPr>
        <w:t>）过程中的规范运作，确保项目公平、公正、公开，防止行贿受贿等违法违纪案件的发生，承诺人特作如下承诺：</w:t>
      </w:r>
    </w:p>
    <w:p w14:paraId="6151B154">
      <w:pPr>
        <w:spacing w:line="480" w:lineRule="auto"/>
        <w:ind w:firstLine="420" w:firstLineChars="200"/>
        <w:rPr>
          <w:highlight w:val="none"/>
        </w:rPr>
      </w:pPr>
      <w:r>
        <w:rPr>
          <w:highlight w:val="none"/>
        </w:rPr>
        <w:t>一、在参与甲方项目全过程中，不以任何理由向甲方人员赠送钱、物、有价证券和免费提供劳务，不为甲方及其亲属支付应由其个人支付的各种费用。</w:t>
      </w:r>
    </w:p>
    <w:p w14:paraId="39799153">
      <w:pPr>
        <w:spacing w:line="480" w:lineRule="auto"/>
        <w:ind w:firstLine="420" w:firstLineChars="200"/>
        <w:rPr>
          <w:highlight w:val="none"/>
        </w:rPr>
      </w:pPr>
      <w:r>
        <w:rPr>
          <w:highlight w:val="none"/>
        </w:rPr>
        <w:t>二、如若获得参与甲方项目资格，不同甲方人员从事本项目相关的物资买卖及中介活动。</w:t>
      </w:r>
    </w:p>
    <w:p w14:paraId="50BF64C8">
      <w:pPr>
        <w:spacing w:line="480" w:lineRule="auto"/>
        <w:ind w:firstLine="420" w:firstLineChars="200"/>
        <w:rPr>
          <w:highlight w:val="none"/>
        </w:rPr>
      </w:pPr>
      <w:r>
        <w:rPr>
          <w:highlight w:val="none"/>
        </w:rPr>
        <w:t>三、不操纵价格，不与其他项目参与人相互串通报价，不采取任何手段排挤其他项目参与人参与公平竞争和损害甲方利益。</w:t>
      </w:r>
    </w:p>
    <w:p w14:paraId="3383148A">
      <w:pPr>
        <w:spacing w:line="480" w:lineRule="auto"/>
        <w:ind w:firstLine="420" w:firstLineChars="200"/>
        <w:rPr>
          <w:highlight w:val="none"/>
        </w:rPr>
      </w:pPr>
      <w:r>
        <w:rPr>
          <w:highlight w:val="none"/>
        </w:rPr>
        <w:t>四、甲方若有员工提出上述违法违纪要求或有其它违纪违法问题，向甲方纪检监察部门举报。</w:t>
      </w:r>
    </w:p>
    <w:p w14:paraId="32261064">
      <w:pPr>
        <w:spacing w:line="480" w:lineRule="auto"/>
        <w:ind w:firstLine="420" w:firstLineChars="200"/>
        <w:rPr>
          <w:highlight w:val="none"/>
        </w:rPr>
      </w:pPr>
      <w:r>
        <w:rPr>
          <w:highlight w:val="none"/>
        </w:rPr>
        <w:t>五、若发现其他</w:t>
      </w:r>
      <w:r>
        <w:rPr>
          <w:rFonts w:hint="eastAsia"/>
          <w:highlight w:val="none"/>
          <w:lang w:eastAsia="zh-CN"/>
        </w:rPr>
        <w:t>供应商</w:t>
      </w:r>
      <w:r>
        <w:rPr>
          <w:highlight w:val="none"/>
        </w:rPr>
        <w:t>有商业贿赂或其他不正当竞争行为，向甲方纪检监察部门举报。</w:t>
      </w:r>
    </w:p>
    <w:p w14:paraId="2141A341">
      <w:pPr>
        <w:spacing w:line="480" w:lineRule="auto"/>
        <w:ind w:firstLine="420" w:firstLineChars="200"/>
        <w:rPr>
          <w:highlight w:val="none"/>
        </w:rPr>
      </w:pPr>
      <w:r>
        <w:rPr>
          <w:highlight w:val="none"/>
        </w:rPr>
        <w:t>六、不私下接触甲方评委，否则报价无效。</w:t>
      </w:r>
    </w:p>
    <w:p w14:paraId="56D68C33">
      <w:pPr>
        <w:spacing w:line="480" w:lineRule="auto"/>
        <w:ind w:left="-178" w:leftChars="-85" w:right="-153" w:rightChars="-73" w:firstLine="630" w:firstLineChars="300"/>
        <w:rPr>
          <w:highlight w:val="none"/>
        </w:rPr>
      </w:pPr>
      <w:r>
        <w:rPr>
          <w:highlight w:val="none"/>
        </w:rPr>
        <w:t>七、若违反本承诺中应遵守的条款，同意甲方取消承诺人本项目参与资格（如已获参与资格，则取消资格；已签订合同的，中止执行），并赔偿甲方损失。情节严重的，三年内甲方可禁止承诺人参加甲方磋商及其他采购活动。如有触犯刑律的，依法移交司法机关。</w:t>
      </w:r>
    </w:p>
    <w:p w14:paraId="75672EAE">
      <w:pPr>
        <w:pStyle w:val="15"/>
        <w:rPr>
          <w:highlight w:val="none"/>
        </w:rPr>
      </w:pPr>
    </w:p>
    <w:p w14:paraId="770548D4">
      <w:pPr>
        <w:spacing w:line="480" w:lineRule="auto"/>
        <w:rPr>
          <w:highlight w:val="none"/>
        </w:rPr>
      </w:pPr>
      <w:r>
        <w:rPr>
          <w:highlight w:val="none"/>
        </w:rPr>
        <w:t xml:space="preserve"> 　　　　　　　　　　　　                          </w:t>
      </w:r>
      <w:r>
        <w:rPr>
          <w:rFonts w:hint="eastAsia"/>
          <w:highlight w:val="none"/>
          <w:lang w:eastAsia="zh-CN"/>
        </w:rPr>
        <w:t>供应商</w:t>
      </w:r>
      <w:r>
        <w:rPr>
          <w:highlight w:val="none"/>
        </w:rPr>
        <w:t>（</w:t>
      </w:r>
      <w:r>
        <w:rPr>
          <w:rFonts w:hint="eastAsia"/>
          <w:highlight w:val="none"/>
        </w:rPr>
        <w:t>公</w:t>
      </w:r>
      <w:r>
        <w:rPr>
          <w:highlight w:val="none"/>
        </w:rPr>
        <w:t>章）：</w:t>
      </w:r>
    </w:p>
    <w:p w14:paraId="6D4ECC68">
      <w:pPr>
        <w:rPr>
          <w:highlight w:val="none"/>
        </w:rPr>
      </w:pPr>
      <w:r>
        <w:rPr>
          <w:highlight w:val="none"/>
        </w:rPr>
        <w:t>　　　　　　　　　　　　　　　　　　　　            年　　月　　日</w:t>
      </w:r>
    </w:p>
    <w:p w14:paraId="7D050B18">
      <w:pPr>
        <w:pStyle w:val="2"/>
        <w:rPr>
          <w:highlight w:val="none"/>
        </w:rPr>
      </w:pPr>
    </w:p>
    <w:p w14:paraId="5219ADF3">
      <w:pPr>
        <w:rPr>
          <w:highlight w:val="none"/>
        </w:rPr>
      </w:pPr>
    </w:p>
    <w:p w14:paraId="0F0A1C57">
      <w:pPr>
        <w:pStyle w:val="15"/>
        <w:rPr>
          <w:highlight w:val="none"/>
        </w:rPr>
      </w:pPr>
    </w:p>
    <w:p w14:paraId="610EE44B">
      <w:pPr>
        <w:spacing w:line="400" w:lineRule="exact"/>
        <w:ind w:left="0" w:leftChars="0" w:right="0" w:rightChars="0" w:firstLine="630" w:firstLineChars="300"/>
        <w:rPr>
          <w:rFonts w:hint="eastAsia" w:ascii="宋体" w:hAnsi="宋体" w:eastAsia="宋体" w:cs="宋体"/>
          <w:highlight w:val="none"/>
          <w:lang w:val="en-US" w:eastAsia="zh-CN"/>
        </w:rPr>
      </w:pPr>
      <w:r>
        <w:rPr>
          <w:rFonts w:hint="eastAsia" w:ascii="宋体" w:hAnsi="宋体" w:cs="宋体"/>
          <w:highlight w:val="none"/>
          <w:lang w:val="en-US" w:eastAsia="zh-CN"/>
        </w:rPr>
        <w:t>监督举报电话：</w:t>
      </w:r>
      <w:r>
        <w:rPr>
          <w:rFonts w:hint="eastAsia" w:ascii="宋体" w:hAnsi="宋体" w:eastAsia="宋体" w:cs="宋体"/>
          <w:highlight w:val="none"/>
          <w:lang w:val="en-US" w:eastAsia="zh-CN"/>
        </w:rPr>
        <w:t>桂林银行派驻纪检监察组办公室0773-3686283</w:t>
      </w:r>
    </w:p>
    <w:p w14:paraId="1028E902">
      <w:pPr>
        <w:spacing w:line="400" w:lineRule="exact"/>
        <w:ind w:left="0" w:leftChars="0" w:right="0" w:rightChars="0" w:firstLine="2100" w:firstLineChars="1000"/>
        <w:rPr>
          <w:rFonts w:hint="eastAsia" w:ascii="宋体" w:hAnsi="宋体" w:eastAsia="宋体" w:cs="宋体"/>
          <w:highlight w:val="none"/>
          <w:lang w:val="en-US" w:eastAsia="zh-CN"/>
        </w:rPr>
      </w:pPr>
      <w:r>
        <w:rPr>
          <w:rFonts w:hint="eastAsia" w:ascii="宋体" w:hAnsi="宋体" w:eastAsia="宋体" w:cs="宋体"/>
          <w:sz w:val="21"/>
          <w:szCs w:val="21"/>
          <w:highlight w:val="none"/>
        </w:rPr>
        <w:t>桂林银行党委纪检</w:t>
      </w:r>
      <w:r>
        <w:rPr>
          <w:rFonts w:hint="eastAsia" w:ascii="宋体" w:hAnsi="宋体" w:eastAsia="宋体" w:cs="宋体"/>
          <w:sz w:val="21"/>
          <w:szCs w:val="21"/>
          <w:highlight w:val="none"/>
          <w:lang w:val="en-US" w:eastAsia="zh-CN"/>
        </w:rPr>
        <w:t>巡察</w:t>
      </w:r>
      <w:r>
        <w:rPr>
          <w:rFonts w:hint="eastAsia" w:ascii="宋体" w:hAnsi="宋体" w:eastAsia="宋体" w:cs="宋体"/>
          <w:sz w:val="21"/>
          <w:szCs w:val="21"/>
          <w:highlight w:val="none"/>
        </w:rPr>
        <w:t>办公室</w:t>
      </w:r>
      <w:r>
        <w:rPr>
          <w:rFonts w:hint="eastAsia" w:ascii="宋体" w:hAnsi="宋体" w:eastAsia="宋体" w:cs="宋体"/>
          <w:sz w:val="21"/>
          <w:szCs w:val="21"/>
          <w:highlight w:val="none"/>
          <w:lang w:val="en-US" w:eastAsia="zh-CN"/>
        </w:rPr>
        <w:t xml:space="preserve">  </w:t>
      </w:r>
      <w:r>
        <w:rPr>
          <w:rFonts w:hint="eastAsia" w:ascii="宋体" w:hAnsi="宋体" w:eastAsia="宋体" w:cs="宋体"/>
          <w:sz w:val="21"/>
          <w:szCs w:val="21"/>
          <w:highlight w:val="none"/>
        </w:rPr>
        <w:t>0773-3687234</w:t>
      </w:r>
    </w:p>
    <w:p w14:paraId="6D46499C">
      <w:pPr>
        <w:rPr>
          <w:rFonts w:hint="default" w:eastAsia="宋体"/>
          <w:highlight w:val="none"/>
          <w:lang w:val="en-US" w:eastAsia="zh-CN"/>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r>
        <w:rPr>
          <w:rFonts w:hint="eastAsia" w:ascii="宋体" w:hAnsi="宋体" w:cs="宋体"/>
          <w:highlight w:val="none"/>
          <w:lang w:val="en-US" w:eastAsia="zh-CN"/>
        </w:rPr>
        <w:t xml:space="preserve">                    桂林银行集中采购办公室 0773-5592002</w:t>
      </w:r>
      <w:r>
        <w:rPr>
          <w:rFonts w:hint="eastAsia"/>
          <w:highlight w:val="none"/>
          <w:lang w:val="en-US" w:eastAsia="zh-CN"/>
        </w:rPr>
        <w:t xml:space="preserve">     </w:t>
      </w:r>
    </w:p>
    <w:p w14:paraId="528486A9">
      <w:pPr>
        <w:spacing w:line="480" w:lineRule="auto"/>
        <w:outlineLvl w:val="1"/>
        <w:rPr>
          <w:rFonts w:ascii="宋体" w:hAnsi="宋体" w:cs="宋体"/>
          <w:b/>
          <w:sz w:val="28"/>
          <w:szCs w:val="28"/>
          <w:highlight w:val="none"/>
        </w:rPr>
      </w:pPr>
      <w:r>
        <w:rPr>
          <w:rFonts w:hint="eastAsia" w:ascii="宋体" w:hAnsi="宋体" w:cs="宋体"/>
          <w:b/>
          <w:kern w:val="0"/>
          <w:highlight w:val="none"/>
          <w:lang w:val="en-US" w:eastAsia="zh-CN"/>
        </w:rPr>
        <w:t>7</w:t>
      </w:r>
      <w:r>
        <w:rPr>
          <w:rFonts w:hint="eastAsia" w:ascii="宋体" w:hAnsi="宋体" w:cs="宋体"/>
          <w:b/>
          <w:kern w:val="0"/>
          <w:highlight w:val="none"/>
        </w:rPr>
        <w:t>-10.</w:t>
      </w:r>
      <w:r>
        <w:rPr>
          <w:rFonts w:hint="eastAsia" w:ascii="宋体" w:hAnsi="宋体" w:cs="宋体"/>
          <w:b/>
          <w:highlight w:val="none"/>
        </w:rPr>
        <w:t>无重大违法记录声明</w:t>
      </w:r>
      <w:r>
        <w:rPr>
          <w:rFonts w:hint="eastAsia" w:ascii="宋体" w:hAnsi="宋体" w:cs="宋体"/>
          <w:b/>
          <w:kern w:val="0"/>
          <w:szCs w:val="22"/>
          <w:highlight w:val="none"/>
        </w:rPr>
        <w:t>（必须提供）</w:t>
      </w:r>
    </w:p>
    <w:p w14:paraId="66060CCF">
      <w:pPr>
        <w:spacing w:line="480" w:lineRule="auto"/>
        <w:jc w:val="center"/>
        <w:rPr>
          <w:sz w:val="28"/>
          <w:szCs w:val="28"/>
          <w:highlight w:val="none"/>
        </w:rPr>
      </w:pPr>
    </w:p>
    <w:p w14:paraId="03188618">
      <w:pPr>
        <w:pStyle w:val="25"/>
        <w:spacing w:line="400" w:lineRule="exact"/>
        <w:rPr>
          <w:rFonts w:ascii="Times New Roman" w:hAnsi="Times New Roman" w:cs="Times New Roman"/>
          <w:b/>
          <w:sz w:val="28"/>
          <w:szCs w:val="28"/>
          <w:highlight w:val="none"/>
        </w:rPr>
      </w:pPr>
      <w:r>
        <w:rPr>
          <w:rFonts w:hint="eastAsia" w:ascii="Times New Roman" w:hAnsi="Times New Roman" w:cs="Times New Roman"/>
          <w:b/>
          <w:sz w:val="28"/>
          <w:szCs w:val="28"/>
          <w:highlight w:val="none"/>
          <w:lang w:eastAsia="zh-CN"/>
        </w:rPr>
        <w:t>供应商</w:t>
      </w:r>
      <w:r>
        <w:rPr>
          <w:rFonts w:ascii="Times New Roman" w:hAnsi="Times New Roman" w:cs="Times New Roman"/>
          <w:b/>
          <w:sz w:val="28"/>
          <w:szCs w:val="28"/>
          <w:highlight w:val="none"/>
        </w:rPr>
        <w:t>参加本项目采购活动前3年内在经营活动中没有重大违法记录的书面声明（必须提供）</w:t>
      </w:r>
    </w:p>
    <w:p w14:paraId="75CD44B5">
      <w:pPr>
        <w:pStyle w:val="25"/>
        <w:spacing w:line="400" w:lineRule="exact"/>
        <w:ind w:left="420" w:leftChars="200" w:firstLine="157" w:firstLineChars="49"/>
        <w:rPr>
          <w:rFonts w:ascii="Times New Roman" w:hAnsi="Times New Roman" w:cs="Times New Roman"/>
          <w:b/>
          <w:sz w:val="32"/>
          <w:szCs w:val="32"/>
          <w:highlight w:val="none"/>
        </w:rPr>
      </w:pPr>
    </w:p>
    <w:p w14:paraId="080525BC">
      <w:pPr>
        <w:pStyle w:val="25"/>
        <w:spacing w:line="400" w:lineRule="exact"/>
        <w:jc w:val="center"/>
        <w:rPr>
          <w:rFonts w:ascii="Times New Roman" w:hAnsi="Times New Roman" w:cs="Times New Roman"/>
          <w:b/>
          <w:sz w:val="32"/>
          <w:szCs w:val="32"/>
          <w:highlight w:val="none"/>
        </w:rPr>
      </w:pPr>
      <w:r>
        <w:rPr>
          <w:rFonts w:ascii="Times New Roman" w:hAnsi="Times New Roman" w:cs="Times New Roman"/>
          <w:b/>
          <w:sz w:val="32"/>
          <w:szCs w:val="32"/>
          <w:highlight w:val="none"/>
        </w:rPr>
        <w:t>声   明</w:t>
      </w:r>
    </w:p>
    <w:p w14:paraId="2B659981">
      <w:pPr>
        <w:snapToGrid w:val="0"/>
        <w:spacing w:line="400" w:lineRule="exact"/>
        <w:outlineLvl w:val="4"/>
        <w:rPr>
          <w:highlight w:val="none"/>
        </w:rPr>
      </w:pPr>
      <w:r>
        <w:rPr>
          <w:b/>
          <w:highlight w:val="none"/>
        </w:rPr>
        <w:t>致</w:t>
      </w:r>
      <w:r>
        <w:rPr>
          <w:highlight w:val="none"/>
        </w:rPr>
        <w:t>：</w:t>
      </w:r>
      <w:r>
        <w:rPr>
          <w:b/>
          <w:highlight w:val="none"/>
        </w:rPr>
        <w:t>桂林银行股份有限公司</w:t>
      </w:r>
    </w:p>
    <w:p w14:paraId="75E8B4C0">
      <w:pPr>
        <w:snapToGrid w:val="0"/>
        <w:spacing w:line="400" w:lineRule="exact"/>
        <w:outlineLvl w:val="4"/>
        <w:rPr>
          <w:highlight w:val="none"/>
          <w:u w:val="single"/>
        </w:rPr>
      </w:pPr>
    </w:p>
    <w:p w14:paraId="658FA2BA">
      <w:pPr>
        <w:pStyle w:val="25"/>
        <w:spacing w:line="400" w:lineRule="exact"/>
        <w:ind w:firstLine="420" w:firstLineChars="200"/>
        <w:rPr>
          <w:rFonts w:ascii="Times New Roman" w:hAnsi="Times New Roman" w:eastAsia="宋体" w:cs="Times New Roman"/>
          <w:highlight w:val="none"/>
        </w:rPr>
      </w:pPr>
      <w:r>
        <w:rPr>
          <w:rFonts w:hint="eastAsia" w:ascii="Times New Roman" w:hAnsi="Times New Roman" w:eastAsia="宋体" w:cs="Times New Roman"/>
          <w:highlight w:val="none"/>
        </w:rPr>
        <w:t>本公司（单位</w:t>
      </w:r>
      <w:r>
        <w:rPr>
          <w:rFonts w:ascii="Times New Roman" w:hAnsi="Times New Roman" w:eastAsia="宋体" w:cs="Times New Roman"/>
          <w:highlight w:val="none"/>
        </w:rPr>
        <w:t>）郑重声明，在参加本项目采购活动前3年内在经营活动中没有重大违法记录（重大违法记录是指</w:t>
      </w:r>
      <w:r>
        <w:rPr>
          <w:rFonts w:hint="eastAsia" w:ascii="Times New Roman" w:hAnsi="Times New Roman" w:eastAsia="宋体" w:cs="Times New Roman"/>
          <w:highlight w:val="none"/>
          <w:lang w:eastAsia="zh-CN"/>
        </w:rPr>
        <w:t>供应商</w:t>
      </w:r>
      <w:r>
        <w:rPr>
          <w:rFonts w:ascii="Times New Roman" w:hAnsi="Times New Roman" w:eastAsia="宋体" w:cs="Times New Roman"/>
          <w:highlight w:val="none"/>
        </w:rPr>
        <w:t>因违法经营受到刑事处罚或者责令停产停业、吊销许可证或者执照、较大数额罚款等行政处罚）。</w:t>
      </w:r>
    </w:p>
    <w:p w14:paraId="18991CD9">
      <w:pPr>
        <w:snapToGrid w:val="0"/>
        <w:spacing w:line="400" w:lineRule="exact"/>
        <w:ind w:firstLine="420"/>
        <w:outlineLvl w:val="4"/>
        <w:rPr>
          <w:highlight w:val="none"/>
        </w:rPr>
      </w:pPr>
    </w:p>
    <w:p w14:paraId="68880A1F">
      <w:pPr>
        <w:snapToGrid w:val="0"/>
        <w:spacing w:line="400" w:lineRule="exact"/>
        <w:ind w:firstLine="420"/>
        <w:outlineLvl w:val="4"/>
        <w:rPr>
          <w:highlight w:val="none"/>
        </w:rPr>
      </w:pPr>
    </w:p>
    <w:p w14:paraId="0BA424F8">
      <w:pPr>
        <w:snapToGrid w:val="0"/>
        <w:spacing w:line="400" w:lineRule="exact"/>
        <w:ind w:firstLine="4935" w:firstLineChars="2350"/>
        <w:outlineLvl w:val="4"/>
        <w:rPr>
          <w:highlight w:val="none"/>
          <w:u w:val="single"/>
        </w:rPr>
      </w:pPr>
      <w:r>
        <w:rPr>
          <w:rFonts w:hint="eastAsia"/>
          <w:highlight w:val="none"/>
          <w:lang w:eastAsia="zh-CN"/>
        </w:rPr>
        <w:t>供应商</w:t>
      </w:r>
      <w:r>
        <w:rPr>
          <w:highlight w:val="none"/>
        </w:rPr>
        <w:t>（公章）：</w:t>
      </w:r>
    </w:p>
    <w:p w14:paraId="5F3151E7">
      <w:pPr>
        <w:snapToGrid w:val="0"/>
        <w:spacing w:line="400" w:lineRule="exact"/>
        <w:ind w:firstLine="420"/>
        <w:outlineLvl w:val="4"/>
        <w:rPr>
          <w:highlight w:val="none"/>
        </w:rPr>
      </w:pPr>
    </w:p>
    <w:p w14:paraId="1A8E906F">
      <w:pPr>
        <w:spacing w:line="340" w:lineRule="exact"/>
        <w:ind w:left="4935" w:leftChars="2350"/>
        <w:rPr>
          <w:highlight w:val="none"/>
          <w:u w:val="single"/>
        </w:rPr>
      </w:pPr>
      <w:r>
        <w:rPr>
          <w:highlight w:val="none"/>
        </w:rPr>
        <w:t>法定代表人</w:t>
      </w:r>
      <w:r>
        <w:rPr>
          <w:rFonts w:hint="eastAsia"/>
          <w:highlight w:val="none"/>
        </w:rPr>
        <w:t>（</w:t>
      </w:r>
      <w:r>
        <w:rPr>
          <w:highlight w:val="none"/>
        </w:rPr>
        <w:t>签字或盖章</w:t>
      </w:r>
      <w:r>
        <w:rPr>
          <w:rFonts w:hint="eastAsia"/>
          <w:highlight w:val="none"/>
        </w:rPr>
        <w:t>）</w:t>
      </w:r>
      <w:r>
        <w:rPr>
          <w:highlight w:val="none"/>
        </w:rPr>
        <w:t>：</w:t>
      </w:r>
    </w:p>
    <w:p w14:paraId="66DD5262">
      <w:pPr>
        <w:spacing w:line="340" w:lineRule="exact"/>
        <w:ind w:firstLine="420" w:firstLineChars="200"/>
        <w:rPr>
          <w:highlight w:val="none"/>
        </w:rPr>
      </w:pPr>
    </w:p>
    <w:p w14:paraId="1409294D">
      <w:pPr>
        <w:pStyle w:val="25"/>
        <w:ind w:firstLine="5040" w:firstLineChars="2400"/>
        <w:rPr>
          <w:rFonts w:ascii="Times New Roman" w:hAnsi="Times New Roman" w:cs="Times New Roman"/>
          <w:b/>
          <w:sz w:val="32"/>
          <w:highlight w:val="none"/>
        </w:rPr>
      </w:pPr>
      <w:r>
        <w:rPr>
          <w:rFonts w:ascii="Times New Roman" w:hAnsi="Times New Roman" w:eastAsia="宋体" w:cs="Times New Roman"/>
          <w:highlight w:val="none"/>
        </w:rPr>
        <w:t>日期：</w:t>
      </w:r>
    </w:p>
    <w:p w14:paraId="68F3D1DA">
      <w:pPr>
        <w:widowControl/>
        <w:adjustRightInd w:val="0"/>
        <w:snapToGrid w:val="0"/>
        <w:spacing w:line="360" w:lineRule="auto"/>
        <w:rPr>
          <w:highlight w:val="none"/>
        </w:rPr>
      </w:pPr>
    </w:p>
    <w:p w14:paraId="4406FABB">
      <w:pPr>
        <w:pStyle w:val="2"/>
        <w:rPr>
          <w:highlight w:val="none"/>
        </w:rPr>
      </w:pPr>
    </w:p>
    <w:p w14:paraId="5B882DED">
      <w:pPr>
        <w:rPr>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A36B8D9">
      <w:pPr>
        <w:rPr>
          <w:rFonts w:ascii="宋体" w:hAnsi="宋体" w:cs="宋体"/>
          <w:b/>
          <w:bCs/>
          <w:highlight w:val="none"/>
        </w:rPr>
      </w:pPr>
      <w:r>
        <w:rPr>
          <w:rFonts w:hint="eastAsia" w:ascii="宋体" w:hAnsi="宋体" w:cs="宋体"/>
          <w:b/>
          <w:bCs/>
          <w:highlight w:val="none"/>
          <w:lang w:val="en-US" w:eastAsia="zh-CN"/>
        </w:rPr>
        <w:t>8.</w:t>
      </w:r>
      <w:r>
        <w:rPr>
          <w:rFonts w:hint="eastAsia" w:ascii="宋体" w:hAnsi="宋体" w:cs="宋体"/>
          <w:b/>
          <w:bCs/>
          <w:highlight w:val="none"/>
        </w:rPr>
        <w:t>技术部分</w:t>
      </w:r>
    </w:p>
    <w:p w14:paraId="3C1C08D6">
      <w:pPr>
        <w:rPr>
          <w:rFonts w:ascii="宋体" w:hAnsi="宋体" w:cs="宋体"/>
          <w:b/>
          <w:bCs/>
          <w:highlight w:val="none"/>
        </w:rPr>
      </w:pPr>
    </w:p>
    <w:p w14:paraId="11EE46F4">
      <w:pPr>
        <w:rPr>
          <w:rFonts w:ascii="宋体" w:hAnsi="宋体" w:cs="宋体"/>
          <w:b/>
          <w:bCs/>
          <w:kern w:val="0"/>
          <w:highlight w:val="none"/>
        </w:rPr>
      </w:pPr>
      <w:r>
        <w:rPr>
          <w:rFonts w:hint="eastAsia" w:ascii="宋体" w:hAnsi="宋体" w:cs="宋体"/>
          <w:b/>
          <w:bCs/>
          <w:highlight w:val="none"/>
          <w:lang w:val="en-US" w:eastAsia="zh-CN"/>
        </w:rPr>
        <w:t>8</w:t>
      </w:r>
      <w:r>
        <w:rPr>
          <w:rFonts w:hint="eastAsia" w:ascii="宋体" w:hAnsi="宋体" w:cs="宋体"/>
          <w:b/>
          <w:bCs/>
          <w:highlight w:val="none"/>
        </w:rPr>
        <w:t>-1.</w:t>
      </w:r>
      <w:r>
        <w:rPr>
          <w:rFonts w:hint="eastAsia" w:ascii="宋体" w:hAnsi="宋体" w:cs="宋体"/>
          <w:b/>
          <w:bCs/>
          <w:kern w:val="0"/>
          <w:highlight w:val="none"/>
        </w:rPr>
        <w:t>偏离表（必须提供）</w:t>
      </w:r>
    </w:p>
    <w:p w14:paraId="589CFCB5">
      <w:pPr>
        <w:rPr>
          <w:rFonts w:ascii="宋体" w:hAnsi="宋体" w:cs="宋体"/>
          <w:highlight w:val="none"/>
        </w:rPr>
      </w:pPr>
      <w:r>
        <w:rPr>
          <w:rFonts w:hint="eastAsia" w:ascii="宋体" w:hAnsi="宋体" w:cs="宋体"/>
          <w:highlight w:val="none"/>
        </w:rPr>
        <w:t>对本项目第三章《项目需求》要求的响应表：</w:t>
      </w:r>
    </w:p>
    <w:tbl>
      <w:tblPr>
        <w:tblStyle w:val="42"/>
        <w:tblW w:w="0" w:type="auto"/>
        <w:tblInd w:w="-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395"/>
        <w:gridCol w:w="3735"/>
        <w:gridCol w:w="1170"/>
      </w:tblGrid>
      <w:tr w14:paraId="13F8F9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3" w:hRule="atLeast"/>
        </w:trPr>
        <w:tc>
          <w:tcPr>
            <w:tcW w:w="896" w:type="dxa"/>
            <w:vAlign w:val="center"/>
          </w:tcPr>
          <w:p w14:paraId="450E5FDF">
            <w:pPr>
              <w:spacing w:line="400" w:lineRule="exact"/>
              <w:jc w:val="center"/>
              <w:rPr>
                <w:rFonts w:ascii="宋体" w:hAnsi="宋体" w:cs="宋体"/>
                <w:highlight w:val="none"/>
              </w:rPr>
            </w:pPr>
            <w:r>
              <w:rPr>
                <w:rFonts w:hint="eastAsia" w:ascii="宋体" w:hAnsi="宋体" w:cs="宋体"/>
                <w:highlight w:val="none"/>
              </w:rPr>
              <w:t>序号</w:t>
            </w:r>
          </w:p>
        </w:tc>
        <w:tc>
          <w:tcPr>
            <w:tcW w:w="3395" w:type="dxa"/>
            <w:vAlign w:val="center"/>
          </w:tcPr>
          <w:p w14:paraId="470CC212">
            <w:pPr>
              <w:spacing w:line="400" w:lineRule="exact"/>
              <w:jc w:val="center"/>
              <w:rPr>
                <w:rFonts w:ascii="宋体" w:hAnsi="宋体" w:cs="宋体"/>
                <w:highlight w:val="none"/>
              </w:rPr>
            </w:pPr>
            <w:r>
              <w:rPr>
                <w:rFonts w:hint="eastAsia" w:ascii="宋体" w:hAnsi="宋体" w:cs="宋体"/>
                <w:highlight w:val="none"/>
              </w:rPr>
              <w:t>磋商文件需求</w:t>
            </w:r>
          </w:p>
        </w:tc>
        <w:tc>
          <w:tcPr>
            <w:tcW w:w="3735" w:type="dxa"/>
            <w:vAlign w:val="center"/>
          </w:tcPr>
          <w:p w14:paraId="34C82C9F">
            <w:pPr>
              <w:snapToGrid w:val="0"/>
              <w:jc w:val="center"/>
              <w:rPr>
                <w:rFonts w:ascii="宋体" w:hAnsi="宋体" w:cs="宋体"/>
                <w:highlight w:val="none"/>
              </w:rPr>
            </w:pPr>
            <w:r>
              <w:rPr>
                <w:rFonts w:hint="eastAsia" w:ascii="宋体" w:hAnsi="宋体" w:cs="宋体"/>
                <w:highlight w:val="none"/>
              </w:rPr>
              <w:t>响应文件响应内容</w:t>
            </w:r>
          </w:p>
          <w:p w14:paraId="62184066">
            <w:pPr>
              <w:spacing w:line="400" w:lineRule="exact"/>
              <w:jc w:val="center"/>
              <w:rPr>
                <w:rFonts w:ascii="宋体" w:hAnsi="宋体" w:cs="宋体"/>
                <w:highlight w:val="none"/>
              </w:rPr>
            </w:pPr>
            <w:r>
              <w:rPr>
                <w:rFonts w:hint="eastAsia" w:ascii="宋体" w:hAnsi="宋体" w:cs="宋体"/>
                <w:highlight w:val="none"/>
              </w:rPr>
              <w:t>（可注明证明材料所在页码）</w:t>
            </w:r>
          </w:p>
        </w:tc>
        <w:tc>
          <w:tcPr>
            <w:tcW w:w="1170" w:type="dxa"/>
            <w:vAlign w:val="center"/>
          </w:tcPr>
          <w:p w14:paraId="49056C72">
            <w:pPr>
              <w:spacing w:line="400" w:lineRule="exact"/>
              <w:jc w:val="center"/>
              <w:rPr>
                <w:rFonts w:ascii="宋体" w:hAnsi="宋体" w:cs="宋体"/>
                <w:highlight w:val="none"/>
              </w:rPr>
            </w:pPr>
            <w:r>
              <w:rPr>
                <w:rFonts w:hint="eastAsia" w:ascii="宋体" w:hAnsi="宋体" w:cs="宋体"/>
                <w:highlight w:val="none"/>
              </w:rPr>
              <w:t>偏离说明</w:t>
            </w:r>
          </w:p>
        </w:tc>
      </w:tr>
      <w:tr w14:paraId="4DDF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7346DD7F">
            <w:pPr>
              <w:spacing w:line="600" w:lineRule="exact"/>
              <w:jc w:val="center"/>
              <w:rPr>
                <w:rFonts w:ascii="宋体" w:hAnsi="宋体" w:cs="宋体"/>
                <w:highlight w:val="none"/>
              </w:rPr>
            </w:pPr>
          </w:p>
        </w:tc>
        <w:tc>
          <w:tcPr>
            <w:tcW w:w="3395" w:type="dxa"/>
            <w:vAlign w:val="center"/>
          </w:tcPr>
          <w:p w14:paraId="32E4093B">
            <w:pPr>
              <w:spacing w:line="600" w:lineRule="exact"/>
              <w:jc w:val="center"/>
              <w:rPr>
                <w:rFonts w:ascii="宋体" w:hAnsi="宋体" w:cs="宋体"/>
                <w:highlight w:val="none"/>
              </w:rPr>
            </w:pPr>
          </w:p>
        </w:tc>
        <w:tc>
          <w:tcPr>
            <w:tcW w:w="3735" w:type="dxa"/>
            <w:vAlign w:val="center"/>
          </w:tcPr>
          <w:p w14:paraId="51C8D9AD">
            <w:pPr>
              <w:spacing w:line="600" w:lineRule="exact"/>
              <w:jc w:val="center"/>
              <w:rPr>
                <w:rFonts w:ascii="宋体" w:hAnsi="宋体" w:cs="宋体"/>
                <w:highlight w:val="none"/>
              </w:rPr>
            </w:pPr>
          </w:p>
        </w:tc>
        <w:tc>
          <w:tcPr>
            <w:tcW w:w="1170" w:type="dxa"/>
            <w:vAlign w:val="center"/>
          </w:tcPr>
          <w:p w14:paraId="091D8FB8">
            <w:pPr>
              <w:spacing w:line="600" w:lineRule="exact"/>
              <w:jc w:val="center"/>
              <w:rPr>
                <w:rFonts w:ascii="宋体" w:hAnsi="宋体" w:cs="宋体"/>
                <w:highlight w:val="none"/>
              </w:rPr>
            </w:pPr>
          </w:p>
        </w:tc>
      </w:tr>
      <w:tr w14:paraId="468038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03B32A6F">
            <w:pPr>
              <w:spacing w:line="600" w:lineRule="exact"/>
              <w:rPr>
                <w:rFonts w:ascii="宋体" w:hAnsi="宋体" w:cs="宋体"/>
                <w:highlight w:val="none"/>
              </w:rPr>
            </w:pPr>
          </w:p>
        </w:tc>
        <w:tc>
          <w:tcPr>
            <w:tcW w:w="3395" w:type="dxa"/>
            <w:vAlign w:val="center"/>
          </w:tcPr>
          <w:p w14:paraId="39C10139">
            <w:pPr>
              <w:spacing w:line="600" w:lineRule="exact"/>
              <w:rPr>
                <w:rFonts w:ascii="宋体" w:hAnsi="宋体" w:cs="宋体"/>
                <w:highlight w:val="none"/>
              </w:rPr>
            </w:pPr>
          </w:p>
        </w:tc>
        <w:tc>
          <w:tcPr>
            <w:tcW w:w="3735" w:type="dxa"/>
            <w:vAlign w:val="center"/>
          </w:tcPr>
          <w:p w14:paraId="08CAF317">
            <w:pPr>
              <w:spacing w:line="600" w:lineRule="exact"/>
              <w:rPr>
                <w:rFonts w:ascii="宋体" w:hAnsi="宋体" w:cs="宋体"/>
                <w:highlight w:val="none"/>
              </w:rPr>
            </w:pPr>
          </w:p>
        </w:tc>
        <w:tc>
          <w:tcPr>
            <w:tcW w:w="1170" w:type="dxa"/>
            <w:vAlign w:val="center"/>
          </w:tcPr>
          <w:p w14:paraId="09781538">
            <w:pPr>
              <w:spacing w:line="600" w:lineRule="exact"/>
              <w:rPr>
                <w:rFonts w:ascii="宋体" w:hAnsi="宋体" w:cs="宋体"/>
                <w:highlight w:val="none"/>
              </w:rPr>
            </w:pPr>
          </w:p>
        </w:tc>
      </w:tr>
      <w:tr w14:paraId="36743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vAlign w:val="center"/>
          </w:tcPr>
          <w:p w14:paraId="50F14EAC">
            <w:pPr>
              <w:spacing w:line="600" w:lineRule="exact"/>
              <w:rPr>
                <w:rFonts w:ascii="宋体" w:hAnsi="宋体" w:cs="宋体"/>
                <w:highlight w:val="none"/>
              </w:rPr>
            </w:pPr>
          </w:p>
        </w:tc>
        <w:tc>
          <w:tcPr>
            <w:tcW w:w="3395" w:type="dxa"/>
            <w:vAlign w:val="center"/>
          </w:tcPr>
          <w:p w14:paraId="6A32B5AC">
            <w:pPr>
              <w:spacing w:line="600" w:lineRule="exact"/>
              <w:rPr>
                <w:rFonts w:ascii="宋体" w:hAnsi="宋体" w:cs="宋体"/>
                <w:highlight w:val="none"/>
              </w:rPr>
            </w:pPr>
          </w:p>
        </w:tc>
        <w:tc>
          <w:tcPr>
            <w:tcW w:w="3735" w:type="dxa"/>
            <w:vAlign w:val="center"/>
          </w:tcPr>
          <w:p w14:paraId="6970324B">
            <w:pPr>
              <w:spacing w:line="600" w:lineRule="exact"/>
              <w:rPr>
                <w:rFonts w:ascii="宋体" w:hAnsi="宋体" w:cs="宋体"/>
                <w:highlight w:val="none"/>
              </w:rPr>
            </w:pPr>
          </w:p>
        </w:tc>
        <w:tc>
          <w:tcPr>
            <w:tcW w:w="1170" w:type="dxa"/>
            <w:vAlign w:val="center"/>
          </w:tcPr>
          <w:p w14:paraId="6AA2EE4E">
            <w:pPr>
              <w:spacing w:line="600" w:lineRule="exact"/>
              <w:rPr>
                <w:rFonts w:ascii="宋体" w:hAnsi="宋体" w:cs="宋体"/>
                <w:highlight w:val="none"/>
              </w:rPr>
            </w:pPr>
          </w:p>
        </w:tc>
      </w:tr>
    </w:tbl>
    <w:p w14:paraId="0D6A98AA">
      <w:pPr>
        <w:ind w:firstLine="420"/>
        <w:rPr>
          <w:rFonts w:ascii="宋体" w:hAnsi="宋体" w:cs="宋体"/>
          <w:highlight w:val="none"/>
        </w:rPr>
      </w:pPr>
      <w:r>
        <w:rPr>
          <w:rFonts w:hint="eastAsia" w:ascii="宋体" w:hAnsi="宋体" w:cs="宋体"/>
          <w:highlight w:val="none"/>
        </w:rPr>
        <w:t>注：</w:t>
      </w:r>
      <w:r>
        <w:rPr>
          <w:rFonts w:hint="eastAsia" w:ascii="宋体" w:hAnsi="宋体" w:cs="宋体"/>
          <w:highlight w:val="none"/>
          <w:lang w:eastAsia="zh-CN"/>
        </w:rPr>
        <w:t>供应商</w:t>
      </w:r>
      <w:r>
        <w:rPr>
          <w:rFonts w:hint="eastAsia" w:ascii="宋体" w:hAnsi="宋体" w:cs="宋体"/>
          <w:highlight w:val="none"/>
        </w:rPr>
        <w:t>应根据项目项目需求对照磋商文件要求逐条在“偏差说明”栏注明“正偏离”、“负偏离”或“无偏离” 。</w:t>
      </w:r>
    </w:p>
    <w:p w14:paraId="1CA86ABA">
      <w:pPr>
        <w:rPr>
          <w:rFonts w:ascii="宋体" w:hAnsi="宋体" w:cs="宋体"/>
          <w:highlight w:val="none"/>
          <w:u w:val="single"/>
        </w:rPr>
      </w:pPr>
    </w:p>
    <w:p w14:paraId="140FFCB4">
      <w:pPr>
        <w:rPr>
          <w:rFonts w:ascii="宋体" w:hAnsi="宋体" w:cs="宋体"/>
          <w:bCs/>
          <w:szCs w:val="22"/>
          <w:highlight w:val="none"/>
        </w:rPr>
      </w:pPr>
      <w:r>
        <w:rPr>
          <w:rFonts w:hint="eastAsia" w:ascii="宋体" w:hAnsi="宋体" w:cs="宋体"/>
          <w:highlight w:val="none"/>
          <w:lang w:eastAsia="zh-CN"/>
        </w:rPr>
        <w:t>供应商</w:t>
      </w:r>
      <w:r>
        <w:rPr>
          <w:rFonts w:hint="eastAsia" w:ascii="宋体" w:hAnsi="宋体" w:cs="宋体"/>
          <w:highlight w:val="none"/>
        </w:rPr>
        <w:t>（公章）：</w:t>
      </w:r>
    </w:p>
    <w:p w14:paraId="0BE7C510">
      <w:pPr>
        <w:rPr>
          <w:rFonts w:ascii="宋体" w:hAnsi="宋体" w:cs="宋体"/>
          <w:highlight w:val="none"/>
        </w:rPr>
      </w:pPr>
      <w:r>
        <w:rPr>
          <w:rFonts w:hint="eastAsia" w:ascii="宋体" w:hAnsi="宋体" w:cs="宋体"/>
          <w:highlight w:val="none"/>
        </w:rPr>
        <w:t>法定代表人或委托代理人（签字或签章）：</w:t>
      </w:r>
    </w:p>
    <w:p w14:paraId="535F1272">
      <w:pPr>
        <w:rPr>
          <w:rFonts w:ascii="宋体" w:hAnsi="宋体" w:cs="宋体"/>
          <w:bCs/>
          <w:szCs w:val="22"/>
          <w:highlight w:val="none"/>
        </w:rPr>
      </w:pPr>
      <w:r>
        <w:rPr>
          <w:rFonts w:hint="eastAsia" w:ascii="宋体" w:hAnsi="宋体" w:cs="宋体"/>
          <w:bCs/>
          <w:szCs w:val="22"/>
          <w:highlight w:val="none"/>
        </w:rPr>
        <w:t>日期：</w:t>
      </w:r>
    </w:p>
    <w:p w14:paraId="2DC7A431">
      <w:pPr>
        <w:pStyle w:val="15"/>
        <w:spacing w:line="400" w:lineRule="exact"/>
        <w:rPr>
          <w:rFonts w:ascii="宋体" w:hAnsi="宋体" w:cs="宋体"/>
          <w:highlight w:val="none"/>
        </w:rPr>
      </w:pPr>
    </w:p>
    <w:p w14:paraId="46600A38">
      <w:pPr>
        <w:pStyle w:val="15"/>
        <w:spacing w:line="400" w:lineRule="exact"/>
        <w:ind w:firstLine="0"/>
        <w:rPr>
          <w:rFonts w:ascii="宋体" w:hAnsi="宋体" w:cs="宋体"/>
          <w:highlight w:val="none"/>
        </w:rPr>
      </w:pPr>
    </w:p>
    <w:p w14:paraId="5C5DA772">
      <w:pPr>
        <w:spacing w:line="400" w:lineRule="exact"/>
        <w:rPr>
          <w:rFonts w:hint="eastAsia" w:hAnsi="宋体"/>
          <w:highlight w:val="none"/>
        </w:rPr>
      </w:pPr>
      <w:bookmarkStart w:id="245" w:name="_Toc182274059"/>
      <w:bookmarkStart w:id="246" w:name="_Toc476524899"/>
      <w:bookmarkStart w:id="247" w:name="_Toc182273927"/>
      <w:bookmarkStart w:id="248" w:name="_Toc181958779"/>
      <w:bookmarkStart w:id="249" w:name="_Toc181778303"/>
      <w:bookmarkStart w:id="250" w:name="_Toc187060993"/>
      <w:bookmarkStart w:id="251" w:name="_Toc380762236"/>
      <w:bookmarkStart w:id="252" w:name="_Toc183712412"/>
      <w:bookmarkStart w:id="253" w:name="_Toc47282060"/>
      <w:bookmarkStart w:id="254" w:name="_Toc186917125"/>
      <w:bookmarkStart w:id="255" w:name="_Toc186917287"/>
      <w:bookmarkStart w:id="256" w:name="_Toc187243764"/>
      <w:bookmarkStart w:id="257" w:name="_Toc187120983"/>
      <w:bookmarkStart w:id="258" w:name="_Toc380054678"/>
      <w:bookmarkStart w:id="259" w:name="_Toc186915361"/>
      <w:bookmarkStart w:id="260" w:name="_Toc186101193"/>
      <w:bookmarkStart w:id="261" w:name="_Toc186382416"/>
      <w:bookmarkStart w:id="262" w:name="_Toc135752563"/>
      <w:bookmarkStart w:id="263" w:name="_Toc33438637"/>
      <w:r>
        <w:rPr>
          <w:rFonts w:hint="eastAsia" w:ascii="宋体" w:hAnsi="宋体" w:cs="宋体"/>
          <w:b/>
          <w:bCs/>
          <w:kern w:val="0"/>
          <w:highlight w:val="none"/>
          <w:lang w:val="en-US" w:eastAsia="zh-CN"/>
        </w:rPr>
        <w:t>8</w:t>
      </w:r>
      <w:r>
        <w:rPr>
          <w:rFonts w:hint="eastAsia" w:ascii="宋体" w:hAnsi="宋体" w:cs="宋体"/>
          <w:b/>
          <w:bCs/>
          <w:kern w:val="0"/>
          <w:highlight w:val="none"/>
        </w:rPr>
        <w:t>-2</w:t>
      </w:r>
      <w:r>
        <w:rPr>
          <w:rFonts w:hint="eastAsia" w:hAnsi="宋体"/>
          <w:b/>
          <w:bCs/>
          <w:highlight w:val="none"/>
        </w:rPr>
        <w:t>.</w:t>
      </w:r>
      <w:r>
        <w:rPr>
          <w:rFonts w:hint="eastAsia" w:hAnsi="宋体"/>
          <w:b w:val="0"/>
          <w:bCs w:val="0"/>
          <w:highlight w:val="none"/>
          <w:lang w:val="en-US" w:eastAsia="zh-CN"/>
        </w:rPr>
        <w:t>服务</w:t>
      </w:r>
      <w:r>
        <w:rPr>
          <w:rFonts w:hint="eastAsia" w:hAnsi="宋体"/>
          <w:highlight w:val="none"/>
          <w:lang w:val="en-US" w:eastAsia="zh-CN"/>
        </w:rPr>
        <w:t>方案</w:t>
      </w:r>
      <w:r>
        <w:rPr>
          <w:rFonts w:hint="eastAsia" w:ascii="宋体" w:hAnsi="宋体" w:cs="宋体"/>
          <w:highlight w:val="none"/>
        </w:rPr>
        <w:t>（根</w:t>
      </w:r>
      <w:r>
        <w:rPr>
          <w:rFonts w:hint="eastAsia" w:hAnsi="宋体"/>
          <w:highlight w:val="none"/>
        </w:rPr>
        <w:t>据项目需求</w:t>
      </w:r>
      <w:r>
        <w:rPr>
          <w:rFonts w:hint="eastAsia" w:hAnsi="宋体"/>
          <w:highlight w:val="none"/>
          <w:lang w:eastAsia="zh-CN"/>
        </w:rPr>
        <w:t>供应商</w:t>
      </w:r>
      <w:r>
        <w:rPr>
          <w:rFonts w:hint="eastAsia" w:hAnsi="宋体"/>
          <w:highlight w:val="none"/>
        </w:rPr>
        <w:t>自行填写）</w:t>
      </w:r>
    </w:p>
    <w:p w14:paraId="1CEA0F01">
      <w:pPr>
        <w:spacing w:line="400" w:lineRule="exact"/>
        <w:rPr>
          <w:rFonts w:hint="eastAsia" w:hAnsi="宋体"/>
          <w:highlight w:val="none"/>
        </w:rPr>
      </w:pPr>
    </w:p>
    <w:p w14:paraId="25F14BD7">
      <w:pPr>
        <w:spacing w:line="400" w:lineRule="exact"/>
        <w:rPr>
          <w:rFonts w:hint="eastAsia" w:ascii="宋体" w:hAnsi="宋体" w:cs="宋体"/>
          <w:b/>
          <w:bCs/>
          <w:kern w:val="0"/>
          <w:highlight w:val="none"/>
        </w:rPr>
      </w:pPr>
      <w:r>
        <w:rPr>
          <w:rFonts w:hint="eastAsia" w:ascii="宋体" w:hAnsi="宋体" w:cs="宋体"/>
          <w:b/>
          <w:bCs/>
          <w:kern w:val="0"/>
          <w:highlight w:val="none"/>
          <w:lang w:val="en-US" w:eastAsia="zh-CN"/>
        </w:rPr>
        <w:t>8</w:t>
      </w:r>
      <w:r>
        <w:rPr>
          <w:rFonts w:hint="eastAsia" w:ascii="宋体" w:hAnsi="宋体" w:cs="宋体"/>
          <w:b/>
          <w:bCs/>
          <w:kern w:val="0"/>
          <w:highlight w:val="none"/>
        </w:rPr>
        <w:t>-3.</w:t>
      </w:r>
      <w:r>
        <w:rPr>
          <w:rFonts w:hint="eastAsia" w:ascii="宋体" w:hAnsi="宋体" w:cs="宋体"/>
          <w:b w:val="0"/>
          <w:bCs w:val="0"/>
          <w:kern w:val="0"/>
          <w:highlight w:val="none"/>
          <w:lang w:val="en-US" w:eastAsia="zh-CN"/>
        </w:rPr>
        <w:t>售后服务</w:t>
      </w:r>
      <w:r>
        <w:rPr>
          <w:rFonts w:hint="eastAsia" w:hAnsi="宋体"/>
          <w:highlight w:val="none"/>
        </w:rPr>
        <w:t>（含服务承诺）</w:t>
      </w:r>
      <w:r>
        <w:rPr>
          <w:rFonts w:hint="eastAsia" w:ascii="宋体" w:hAnsi="宋体" w:cs="宋体"/>
          <w:highlight w:val="none"/>
        </w:rPr>
        <w:t>（根</w:t>
      </w:r>
      <w:r>
        <w:rPr>
          <w:rFonts w:hint="eastAsia" w:hAnsi="宋体"/>
          <w:highlight w:val="none"/>
        </w:rPr>
        <w:t>据项目需求</w:t>
      </w:r>
      <w:r>
        <w:rPr>
          <w:rFonts w:hint="eastAsia" w:hAnsi="宋体"/>
          <w:highlight w:val="none"/>
          <w:lang w:eastAsia="zh-CN"/>
        </w:rPr>
        <w:t>供应商</w:t>
      </w:r>
      <w:r>
        <w:rPr>
          <w:rFonts w:hint="eastAsia" w:hAnsi="宋体"/>
          <w:highlight w:val="none"/>
        </w:rPr>
        <w:t>自行填写）</w:t>
      </w:r>
    </w:p>
    <w:p w14:paraId="777C5638">
      <w:pPr>
        <w:spacing w:line="400" w:lineRule="exact"/>
        <w:rPr>
          <w:rFonts w:hint="eastAsia" w:ascii="宋体" w:hAnsi="宋体" w:cs="宋体"/>
          <w:b/>
          <w:bCs/>
          <w:kern w:val="0"/>
          <w:highlight w:val="none"/>
        </w:rPr>
      </w:pPr>
    </w:p>
    <w:p w14:paraId="1B404BFD">
      <w:pPr>
        <w:spacing w:line="400" w:lineRule="exact"/>
        <w:rPr>
          <w:rFonts w:hint="default" w:ascii="宋体" w:hAnsi="宋体" w:cs="宋体"/>
          <w:b/>
          <w:bCs/>
          <w:kern w:val="0"/>
          <w:highlight w:val="none"/>
          <w:lang w:val="en-US" w:eastAsia="zh-CN"/>
        </w:rPr>
      </w:pPr>
      <w:r>
        <w:rPr>
          <w:rFonts w:hint="eastAsia" w:ascii="宋体" w:hAnsi="宋体" w:cs="宋体"/>
          <w:b/>
          <w:bCs/>
          <w:kern w:val="0"/>
          <w:highlight w:val="none"/>
          <w:lang w:val="en-US" w:eastAsia="zh-CN"/>
        </w:rPr>
        <w:t>8-4.</w:t>
      </w:r>
      <w:r>
        <w:rPr>
          <w:rFonts w:hint="eastAsia" w:ascii="宋体" w:hAnsi="宋体" w:cs="宋体"/>
          <w:b w:val="0"/>
          <w:bCs w:val="0"/>
          <w:kern w:val="0"/>
          <w:highlight w:val="none"/>
          <w:lang w:val="en-US" w:eastAsia="zh-CN"/>
        </w:rPr>
        <w:t>驻场时长保障</w:t>
      </w:r>
      <w:r>
        <w:rPr>
          <w:rFonts w:hint="eastAsia" w:ascii="宋体" w:hAnsi="宋体" w:cs="宋体"/>
          <w:highlight w:val="none"/>
        </w:rPr>
        <w:t>（根</w:t>
      </w:r>
      <w:r>
        <w:rPr>
          <w:rFonts w:hint="eastAsia" w:hAnsi="宋体"/>
          <w:highlight w:val="none"/>
        </w:rPr>
        <w:t>据项目需求</w:t>
      </w:r>
      <w:r>
        <w:rPr>
          <w:rFonts w:hint="eastAsia" w:hAnsi="宋体"/>
          <w:highlight w:val="none"/>
          <w:lang w:eastAsia="zh-CN"/>
        </w:rPr>
        <w:t>供应商</w:t>
      </w:r>
      <w:r>
        <w:rPr>
          <w:rFonts w:hint="eastAsia" w:hAnsi="宋体"/>
          <w:highlight w:val="none"/>
        </w:rPr>
        <w:t>自行填写）</w:t>
      </w:r>
    </w:p>
    <w:p w14:paraId="3E9D3ADE">
      <w:pPr>
        <w:spacing w:line="400" w:lineRule="exact"/>
        <w:rPr>
          <w:rFonts w:hint="eastAsia" w:ascii="宋体" w:hAnsi="宋体" w:cs="宋体"/>
          <w:b/>
          <w:bCs/>
          <w:kern w:val="0"/>
          <w:highlight w:val="none"/>
          <w:lang w:val="en-US" w:eastAsia="zh-CN"/>
        </w:rPr>
      </w:pPr>
    </w:p>
    <w:p w14:paraId="0C233417">
      <w:pPr>
        <w:spacing w:line="400" w:lineRule="exact"/>
        <w:rPr>
          <w:rFonts w:ascii="宋体" w:hAnsi="宋体" w:cs="宋体"/>
          <w:highlight w:val="none"/>
        </w:rPr>
      </w:pPr>
      <w:r>
        <w:rPr>
          <w:rFonts w:hint="eastAsia" w:ascii="宋体" w:hAnsi="宋体" w:cs="宋体"/>
          <w:b/>
          <w:bCs/>
          <w:highlight w:val="none"/>
          <w:lang w:val="en-US" w:eastAsia="zh-CN"/>
        </w:rPr>
        <w:t>8</w:t>
      </w:r>
      <w:r>
        <w:rPr>
          <w:rFonts w:hint="eastAsia" w:ascii="宋体" w:hAnsi="宋体" w:cs="宋体"/>
          <w:b/>
          <w:bCs/>
          <w:highlight w:val="none"/>
        </w:rPr>
        <w:t>-</w:t>
      </w:r>
      <w:r>
        <w:rPr>
          <w:rFonts w:hint="eastAsia" w:ascii="宋体" w:hAnsi="宋体" w:cs="宋体"/>
          <w:b/>
          <w:bCs/>
          <w:highlight w:val="none"/>
          <w:lang w:val="en-US" w:eastAsia="zh-CN"/>
        </w:rPr>
        <w:t>5</w:t>
      </w:r>
      <w:r>
        <w:rPr>
          <w:rFonts w:hint="eastAsia" w:ascii="宋体" w:hAnsi="宋体" w:cs="宋体"/>
          <w:b/>
          <w:bCs/>
          <w:highlight w:val="none"/>
        </w:rPr>
        <w:t>.</w:t>
      </w:r>
      <w:r>
        <w:rPr>
          <w:rFonts w:hint="eastAsia" w:ascii="宋体" w:hAnsi="宋体" w:cs="宋体"/>
          <w:kern w:val="0"/>
          <w:highlight w:val="none"/>
          <w:lang w:eastAsia="zh-CN"/>
        </w:rPr>
        <w:t>供应商</w:t>
      </w:r>
      <w:r>
        <w:rPr>
          <w:rFonts w:hint="eastAsia" w:ascii="宋体" w:hAnsi="宋体" w:cs="宋体"/>
          <w:kern w:val="0"/>
          <w:highlight w:val="none"/>
        </w:rPr>
        <w:t>可提供的增值服务</w:t>
      </w:r>
      <w:r>
        <w:rPr>
          <w:rFonts w:hint="eastAsia" w:ascii="宋体" w:hAnsi="宋体" w:cs="宋体"/>
          <w:highlight w:val="none"/>
        </w:rPr>
        <w:t>（根据项目需求</w:t>
      </w:r>
      <w:r>
        <w:rPr>
          <w:rFonts w:hint="eastAsia" w:ascii="宋体" w:hAnsi="宋体" w:cs="宋体"/>
          <w:highlight w:val="none"/>
          <w:lang w:eastAsia="zh-CN"/>
        </w:rPr>
        <w:t>供应商</w:t>
      </w:r>
      <w:r>
        <w:rPr>
          <w:rFonts w:hint="eastAsia" w:ascii="宋体" w:hAnsi="宋体" w:cs="宋体"/>
          <w:highlight w:val="none"/>
        </w:rPr>
        <w:t>自行填写）</w:t>
      </w:r>
    </w:p>
    <w:p w14:paraId="78ECF44B">
      <w:pPr>
        <w:spacing w:line="400" w:lineRule="exact"/>
        <w:rPr>
          <w:rFonts w:ascii="宋体" w:hAnsi="宋体" w:cs="宋体"/>
          <w:b/>
          <w:bCs/>
          <w:highlight w:val="none"/>
        </w:rPr>
      </w:pPr>
    </w:p>
    <w:p w14:paraId="2ED37C9D">
      <w:pPr>
        <w:spacing w:line="400" w:lineRule="exact"/>
        <w:rPr>
          <w:rFonts w:ascii="宋体" w:hAnsi="宋体" w:cs="宋体"/>
          <w:highlight w:val="none"/>
        </w:rPr>
      </w:pPr>
      <w:r>
        <w:rPr>
          <w:rFonts w:hint="eastAsia" w:ascii="宋体" w:hAnsi="宋体" w:cs="宋体"/>
          <w:b/>
          <w:bCs/>
          <w:highlight w:val="none"/>
          <w:lang w:val="en-US" w:eastAsia="zh-CN"/>
        </w:rPr>
        <w:t>8</w:t>
      </w:r>
      <w:r>
        <w:rPr>
          <w:rFonts w:hint="eastAsia" w:ascii="宋体" w:hAnsi="宋体" w:cs="宋体"/>
          <w:b/>
          <w:bCs/>
          <w:highlight w:val="none"/>
        </w:rPr>
        <w:t>-</w:t>
      </w:r>
      <w:r>
        <w:rPr>
          <w:rFonts w:hint="eastAsia" w:ascii="宋体" w:hAnsi="宋体" w:cs="宋体"/>
          <w:b/>
          <w:bCs/>
          <w:highlight w:val="none"/>
          <w:lang w:val="en-US" w:eastAsia="zh-CN"/>
        </w:rPr>
        <w:t>6</w:t>
      </w:r>
      <w:r>
        <w:rPr>
          <w:rFonts w:hint="eastAsia" w:ascii="宋体" w:hAnsi="宋体" w:cs="宋体"/>
          <w:b/>
          <w:bCs/>
          <w:highlight w:val="none"/>
        </w:rPr>
        <w:t>.</w:t>
      </w:r>
      <w:r>
        <w:rPr>
          <w:rFonts w:hint="eastAsia" w:ascii="宋体" w:hAnsi="宋体" w:cs="宋体"/>
          <w:highlight w:val="none"/>
          <w:lang w:eastAsia="zh-CN"/>
        </w:rPr>
        <w:t>供应商</w:t>
      </w:r>
      <w:r>
        <w:rPr>
          <w:rFonts w:hint="eastAsia" w:ascii="宋体" w:hAnsi="宋体" w:cs="宋体"/>
          <w:highlight w:val="none"/>
        </w:rPr>
        <w:t>认为需提供的其他材料（根据项目需求编写）</w:t>
      </w:r>
    </w:p>
    <w:p w14:paraId="60B3AC62">
      <w:pPr>
        <w:pStyle w:val="2"/>
        <w:spacing w:after="0" w:line="400" w:lineRule="exact"/>
        <w:rPr>
          <w:rFonts w:ascii="宋体" w:hAnsi="宋体" w:cs="宋体"/>
          <w:highlight w:val="none"/>
        </w:rPr>
      </w:pPr>
    </w:p>
    <w:p w14:paraId="66993A4C">
      <w:pPr>
        <w:pStyle w:val="2"/>
        <w:spacing w:after="0" w:line="400" w:lineRule="exact"/>
        <w:rPr>
          <w:rFonts w:ascii="宋体" w:hAnsi="宋体" w:cs="宋体"/>
          <w:kern w:val="0"/>
          <w:highlight w:val="none"/>
        </w:rPr>
      </w:pPr>
    </w:p>
    <w:p w14:paraId="660D686C">
      <w:pPr>
        <w:pStyle w:val="2"/>
        <w:spacing w:after="0" w:line="400" w:lineRule="exact"/>
        <w:rPr>
          <w:rFonts w:ascii="宋体" w:hAnsi="宋体" w:cs="宋体"/>
          <w:highlight w:val="none"/>
        </w:rPr>
      </w:pPr>
    </w:p>
    <w:p w14:paraId="4E6DC6AF">
      <w:pPr>
        <w:pStyle w:val="4"/>
        <w:spacing w:before="0" w:after="0" w:line="400" w:lineRule="exact"/>
        <w:rPr>
          <w:rFonts w:ascii="宋体" w:hAnsi="宋体" w:eastAsia="宋体" w:cs="宋体"/>
          <w:kern w:val="0"/>
          <w:sz w:val="21"/>
          <w:szCs w:val="21"/>
          <w:highlight w:val="none"/>
        </w:rPr>
      </w:pPr>
    </w:p>
    <w:p w14:paraId="23812B5D">
      <w:pPr>
        <w:pStyle w:val="4"/>
        <w:spacing w:before="0" w:after="0" w:line="400" w:lineRule="exact"/>
        <w:rPr>
          <w:rFonts w:ascii="宋体" w:hAnsi="宋体" w:eastAsia="宋体" w:cs="宋体"/>
          <w:kern w:val="0"/>
          <w:sz w:val="21"/>
          <w:szCs w:val="21"/>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567135E3">
      <w:pPr>
        <w:pStyle w:val="4"/>
        <w:spacing w:before="0" w:after="0" w:line="400" w:lineRule="exact"/>
        <w:rPr>
          <w:rFonts w:ascii="Times New Roman" w:hAnsi="Times New Roman" w:eastAsia="宋体" w:cs="Times New Roman"/>
          <w:bCs w:val="0"/>
          <w:kern w:val="0"/>
          <w:sz w:val="21"/>
          <w:szCs w:val="21"/>
          <w:highlight w:val="none"/>
        </w:rPr>
      </w:pPr>
      <w:r>
        <w:rPr>
          <w:rFonts w:hint="eastAsia" w:ascii="Times New Roman" w:hAnsi="Times New Roman" w:eastAsia="宋体" w:cs="Times New Roman"/>
          <w:kern w:val="0"/>
          <w:sz w:val="21"/>
          <w:szCs w:val="21"/>
          <w:highlight w:val="none"/>
          <w:lang w:val="en-US" w:eastAsia="zh-CN"/>
        </w:rPr>
        <w:t>8</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val="en-US" w:eastAsia="zh-CN"/>
        </w:rPr>
        <w:t>7</w:t>
      </w:r>
      <w:r>
        <w:rPr>
          <w:rFonts w:ascii="Times New Roman" w:hAnsi="Times New Roman" w:eastAsia="宋体" w:cs="Times New Roman"/>
          <w:kern w:val="0"/>
          <w:sz w:val="21"/>
          <w:szCs w:val="21"/>
          <w:highlight w:val="none"/>
        </w:rPr>
        <w:t>.</w:t>
      </w:r>
      <w:r>
        <w:rPr>
          <w:rFonts w:hint="eastAsia" w:ascii="Times New Roman" w:hAnsi="Times New Roman" w:eastAsia="宋体" w:cs="Times New Roman"/>
          <w:kern w:val="0"/>
          <w:sz w:val="21"/>
          <w:szCs w:val="21"/>
          <w:highlight w:val="none"/>
          <w:lang w:eastAsia="zh-CN"/>
        </w:rPr>
        <w:t>供应商</w:t>
      </w:r>
      <w:r>
        <w:rPr>
          <w:rFonts w:ascii="Times New Roman" w:hAnsi="Times New Roman" w:eastAsia="宋体" w:cs="Times New Roman"/>
          <w:kern w:val="0"/>
          <w:sz w:val="21"/>
          <w:szCs w:val="21"/>
          <w:highlight w:val="none"/>
        </w:rPr>
        <w:t>提供</w:t>
      </w:r>
      <w:r>
        <w:rPr>
          <w:rFonts w:ascii="Times New Roman" w:hAnsi="Times New Roman" w:eastAsia="宋体" w:cs="Times New Roman"/>
          <w:bCs w:val="0"/>
          <w:kern w:val="0"/>
          <w:sz w:val="21"/>
          <w:szCs w:val="21"/>
          <w:highlight w:val="none"/>
        </w:rPr>
        <w:t>自20</w:t>
      </w:r>
      <w:r>
        <w:rPr>
          <w:rFonts w:hint="eastAsia" w:ascii="Times New Roman" w:hAnsi="Times New Roman" w:eastAsia="宋体" w:cs="Times New Roman"/>
          <w:bCs w:val="0"/>
          <w:kern w:val="0"/>
          <w:sz w:val="21"/>
          <w:szCs w:val="21"/>
          <w:highlight w:val="none"/>
        </w:rPr>
        <w:t>2</w:t>
      </w:r>
      <w:r>
        <w:rPr>
          <w:rFonts w:hint="eastAsia" w:ascii="Times New Roman" w:hAnsi="Times New Roman" w:eastAsia="宋体" w:cs="Times New Roman"/>
          <w:bCs w:val="0"/>
          <w:kern w:val="0"/>
          <w:sz w:val="21"/>
          <w:szCs w:val="21"/>
          <w:highlight w:val="none"/>
          <w:lang w:val="en-US" w:eastAsia="zh-CN"/>
        </w:rPr>
        <w:t>4</w:t>
      </w:r>
      <w:r>
        <w:rPr>
          <w:rFonts w:ascii="Times New Roman" w:hAnsi="Times New Roman" w:eastAsia="宋体" w:cs="Times New Roman"/>
          <w:bCs w:val="0"/>
          <w:kern w:val="0"/>
          <w:sz w:val="21"/>
          <w:szCs w:val="21"/>
          <w:highlight w:val="none"/>
        </w:rPr>
        <w:t>年1月1日</w:t>
      </w:r>
      <w:r>
        <w:rPr>
          <w:rFonts w:hint="eastAsia" w:ascii="Times New Roman" w:hAnsi="Times New Roman" w:eastAsia="宋体" w:cs="Times New Roman"/>
          <w:bCs w:val="0"/>
          <w:kern w:val="0"/>
          <w:sz w:val="21"/>
          <w:szCs w:val="21"/>
          <w:highlight w:val="none"/>
        </w:rPr>
        <w:t>以来的</w:t>
      </w:r>
      <w:r>
        <w:rPr>
          <w:rFonts w:hint="eastAsia" w:ascii="Times New Roman" w:hAnsi="Times New Roman" w:eastAsia="宋体" w:cs="Times New Roman"/>
          <w:bCs w:val="0"/>
          <w:kern w:val="0"/>
          <w:sz w:val="21"/>
          <w:szCs w:val="21"/>
          <w:highlight w:val="none"/>
          <w:lang w:val="en-US" w:eastAsia="zh-CN"/>
        </w:rPr>
        <w:t>自评估</w:t>
      </w:r>
      <w:r>
        <w:rPr>
          <w:rFonts w:ascii="Times New Roman" w:hAnsi="Times New Roman" w:eastAsia="宋体" w:cs="Times New Roman"/>
          <w:bCs w:val="0"/>
          <w:kern w:val="0"/>
          <w:sz w:val="21"/>
          <w:szCs w:val="21"/>
          <w:highlight w:val="none"/>
        </w:rPr>
        <w:t>项目业绩一览表（如磋商文件有要求时提供）</w:t>
      </w:r>
    </w:p>
    <w:tbl>
      <w:tblPr>
        <w:tblStyle w:val="42"/>
        <w:tblW w:w="91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4"/>
        <w:gridCol w:w="1545"/>
        <w:gridCol w:w="1529"/>
        <w:gridCol w:w="1059"/>
        <w:gridCol w:w="1410"/>
        <w:gridCol w:w="1507"/>
        <w:gridCol w:w="1475"/>
      </w:tblGrid>
      <w:tr w14:paraId="6CF0A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5" w:hRule="atLeast"/>
          <w:jc w:val="center"/>
        </w:trPr>
        <w:tc>
          <w:tcPr>
            <w:tcW w:w="654" w:type="dxa"/>
            <w:vAlign w:val="center"/>
          </w:tcPr>
          <w:p w14:paraId="2DB6A16D">
            <w:pPr>
              <w:spacing w:line="400" w:lineRule="exact"/>
              <w:jc w:val="center"/>
              <w:rPr>
                <w:highlight w:val="none"/>
              </w:rPr>
            </w:pPr>
            <w:r>
              <w:rPr>
                <w:highlight w:val="none"/>
              </w:rPr>
              <w:t>序号</w:t>
            </w:r>
          </w:p>
        </w:tc>
        <w:tc>
          <w:tcPr>
            <w:tcW w:w="1545" w:type="dxa"/>
            <w:vAlign w:val="center"/>
          </w:tcPr>
          <w:p w14:paraId="38541D8F">
            <w:pPr>
              <w:spacing w:line="400" w:lineRule="exact"/>
              <w:jc w:val="center"/>
              <w:rPr>
                <w:highlight w:val="none"/>
              </w:rPr>
            </w:pPr>
            <w:r>
              <w:rPr>
                <w:highlight w:val="none"/>
              </w:rPr>
              <w:t>采购单位名称</w:t>
            </w:r>
          </w:p>
        </w:tc>
        <w:tc>
          <w:tcPr>
            <w:tcW w:w="1529" w:type="dxa"/>
            <w:vAlign w:val="center"/>
          </w:tcPr>
          <w:p w14:paraId="6AD9719C">
            <w:pPr>
              <w:spacing w:line="400" w:lineRule="exact"/>
              <w:jc w:val="center"/>
              <w:rPr>
                <w:highlight w:val="none"/>
              </w:rPr>
            </w:pPr>
            <w:r>
              <w:rPr>
                <w:highlight w:val="none"/>
              </w:rPr>
              <w:t>项目名称或服务内容</w:t>
            </w:r>
          </w:p>
        </w:tc>
        <w:tc>
          <w:tcPr>
            <w:tcW w:w="1059" w:type="dxa"/>
            <w:vAlign w:val="center"/>
          </w:tcPr>
          <w:p w14:paraId="18B2FE81">
            <w:pPr>
              <w:spacing w:line="400" w:lineRule="exact"/>
              <w:jc w:val="center"/>
              <w:rPr>
                <w:highlight w:val="none"/>
              </w:rPr>
            </w:pPr>
            <w:r>
              <w:rPr>
                <w:highlight w:val="none"/>
              </w:rPr>
              <w:t>服务数量或年限</w:t>
            </w:r>
          </w:p>
        </w:tc>
        <w:tc>
          <w:tcPr>
            <w:tcW w:w="1410" w:type="dxa"/>
            <w:vAlign w:val="center"/>
          </w:tcPr>
          <w:p w14:paraId="381905A7">
            <w:pPr>
              <w:spacing w:line="400" w:lineRule="exact"/>
              <w:jc w:val="center"/>
              <w:rPr>
                <w:highlight w:val="none"/>
              </w:rPr>
            </w:pPr>
            <w:r>
              <w:rPr>
                <w:highlight w:val="none"/>
              </w:rPr>
              <w:t>合同金额</w:t>
            </w:r>
            <w:r>
              <w:rPr>
                <w:rFonts w:hint="eastAsia"/>
                <w:highlight w:val="none"/>
              </w:rPr>
              <w:t>（元）（如有）</w:t>
            </w:r>
          </w:p>
        </w:tc>
        <w:tc>
          <w:tcPr>
            <w:tcW w:w="1507" w:type="dxa"/>
            <w:vAlign w:val="center"/>
          </w:tcPr>
          <w:p w14:paraId="13E60C8D">
            <w:pPr>
              <w:spacing w:line="400" w:lineRule="exact"/>
              <w:jc w:val="center"/>
              <w:rPr>
                <w:highlight w:val="none"/>
              </w:rPr>
            </w:pPr>
            <w:r>
              <w:rPr>
                <w:highlight w:val="none"/>
              </w:rPr>
              <w:t>合同执行时间</w:t>
            </w:r>
          </w:p>
        </w:tc>
        <w:tc>
          <w:tcPr>
            <w:tcW w:w="1475" w:type="dxa"/>
            <w:vAlign w:val="center"/>
          </w:tcPr>
          <w:p w14:paraId="7EA1AE9B">
            <w:pPr>
              <w:spacing w:line="400" w:lineRule="exact"/>
              <w:jc w:val="center"/>
              <w:rPr>
                <w:highlight w:val="none"/>
              </w:rPr>
            </w:pPr>
            <w:r>
              <w:rPr>
                <w:highlight w:val="none"/>
              </w:rPr>
              <w:t>备注</w:t>
            </w:r>
          </w:p>
        </w:tc>
      </w:tr>
      <w:tr w14:paraId="7C52F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0659B2E5">
            <w:pPr>
              <w:spacing w:line="400" w:lineRule="exact"/>
              <w:jc w:val="center"/>
              <w:rPr>
                <w:highlight w:val="none"/>
              </w:rPr>
            </w:pPr>
          </w:p>
        </w:tc>
        <w:tc>
          <w:tcPr>
            <w:tcW w:w="1545" w:type="dxa"/>
          </w:tcPr>
          <w:p w14:paraId="7624A352">
            <w:pPr>
              <w:spacing w:line="400" w:lineRule="exact"/>
              <w:rPr>
                <w:highlight w:val="none"/>
              </w:rPr>
            </w:pPr>
          </w:p>
        </w:tc>
        <w:tc>
          <w:tcPr>
            <w:tcW w:w="1529" w:type="dxa"/>
          </w:tcPr>
          <w:p w14:paraId="6D91B30A">
            <w:pPr>
              <w:spacing w:line="400" w:lineRule="exact"/>
              <w:rPr>
                <w:highlight w:val="none"/>
              </w:rPr>
            </w:pPr>
          </w:p>
        </w:tc>
        <w:tc>
          <w:tcPr>
            <w:tcW w:w="1059" w:type="dxa"/>
          </w:tcPr>
          <w:p w14:paraId="0FCA77C6">
            <w:pPr>
              <w:spacing w:line="400" w:lineRule="exact"/>
              <w:rPr>
                <w:highlight w:val="none"/>
              </w:rPr>
            </w:pPr>
          </w:p>
        </w:tc>
        <w:tc>
          <w:tcPr>
            <w:tcW w:w="1410" w:type="dxa"/>
          </w:tcPr>
          <w:p w14:paraId="6148CD47">
            <w:pPr>
              <w:spacing w:line="400" w:lineRule="exact"/>
              <w:rPr>
                <w:highlight w:val="none"/>
              </w:rPr>
            </w:pPr>
          </w:p>
        </w:tc>
        <w:tc>
          <w:tcPr>
            <w:tcW w:w="1507" w:type="dxa"/>
          </w:tcPr>
          <w:p w14:paraId="7E3AD123">
            <w:pPr>
              <w:spacing w:line="400" w:lineRule="exact"/>
              <w:rPr>
                <w:highlight w:val="none"/>
              </w:rPr>
            </w:pPr>
          </w:p>
        </w:tc>
        <w:tc>
          <w:tcPr>
            <w:tcW w:w="1475" w:type="dxa"/>
          </w:tcPr>
          <w:p w14:paraId="54306358">
            <w:pPr>
              <w:spacing w:line="400" w:lineRule="exact"/>
              <w:rPr>
                <w:highlight w:val="none"/>
              </w:rPr>
            </w:pPr>
          </w:p>
        </w:tc>
      </w:tr>
      <w:tr w14:paraId="7E152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643632DC">
            <w:pPr>
              <w:spacing w:line="400" w:lineRule="exact"/>
              <w:jc w:val="center"/>
              <w:rPr>
                <w:highlight w:val="none"/>
              </w:rPr>
            </w:pPr>
          </w:p>
        </w:tc>
        <w:tc>
          <w:tcPr>
            <w:tcW w:w="1545" w:type="dxa"/>
          </w:tcPr>
          <w:p w14:paraId="71D2D53A">
            <w:pPr>
              <w:spacing w:line="400" w:lineRule="exact"/>
              <w:rPr>
                <w:highlight w:val="none"/>
              </w:rPr>
            </w:pPr>
          </w:p>
        </w:tc>
        <w:tc>
          <w:tcPr>
            <w:tcW w:w="1529" w:type="dxa"/>
          </w:tcPr>
          <w:p w14:paraId="3EF5802A">
            <w:pPr>
              <w:spacing w:line="400" w:lineRule="exact"/>
              <w:rPr>
                <w:highlight w:val="none"/>
              </w:rPr>
            </w:pPr>
          </w:p>
        </w:tc>
        <w:tc>
          <w:tcPr>
            <w:tcW w:w="1059" w:type="dxa"/>
          </w:tcPr>
          <w:p w14:paraId="1C15C651">
            <w:pPr>
              <w:spacing w:line="400" w:lineRule="exact"/>
              <w:rPr>
                <w:highlight w:val="none"/>
              </w:rPr>
            </w:pPr>
          </w:p>
        </w:tc>
        <w:tc>
          <w:tcPr>
            <w:tcW w:w="1410" w:type="dxa"/>
          </w:tcPr>
          <w:p w14:paraId="7CEC795C">
            <w:pPr>
              <w:spacing w:line="400" w:lineRule="exact"/>
              <w:rPr>
                <w:highlight w:val="none"/>
              </w:rPr>
            </w:pPr>
          </w:p>
        </w:tc>
        <w:tc>
          <w:tcPr>
            <w:tcW w:w="1507" w:type="dxa"/>
          </w:tcPr>
          <w:p w14:paraId="49566E47">
            <w:pPr>
              <w:spacing w:line="400" w:lineRule="exact"/>
              <w:rPr>
                <w:highlight w:val="none"/>
              </w:rPr>
            </w:pPr>
          </w:p>
        </w:tc>
        <w:tc>
          <w:tcPr>
            <w:tcW w:w="1475" w:type="dxa"/>
          </w:tcPr>
          <w:p w14:paraId="592D7E10">
            <w:pPr>
              <w:spacing w:line="400" w:lineRule="exact"/>
              <w:rPr>
                <w:highlight w:val="none"/>
              </w:rPr>
            </w:pPr>
          </w:p>
        </w:tc>
      </w:tr>
      <w:tr w14:paraId="01E1D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47334DD4">
            <w:pPr>
              <w:spacing w:line="400" w:lineRule="exact"/>
              <w:jc w:val="center"/>
              <w:rPr>
                <w:highlight w:val="none"/>
              </w:rPr>
            </w:pPr>
          </w:p>
        </w:tc>
        <w:tc>
          <w:tcPr>
            <w:tcW w:w="1545" w:type="dxa"/>
          </w:tcPr>
          <w:p w14:paraId="0067E837">
            <w:pPr>
              <w:spacing w:line="400" w:lineRule="exact"/>
              <w:rPr>
                <w:highlight w:val="none"/>
              </w:rPr>
            </w:pPr>
          </w:p>
        </w:tc>
        <w:tc>
          <w:tcPr>
            <w:tcW w:w="1529" w:type="dxa"/>
          </w:tcPr>
          <w:p w14:paraId="75787EA9">
            <w:pPr>
              <w:spacing w:line="400" w:lineRule="exact"/>
              <w:rPr>
                <w:highlight w:val="none"/>
              </w:rPr>
            </w:pPr>
          </w:p>
        </w:tc>
        <w:tc>
          <w:tcPr>
            <w:tcW w:w="1059" w:type="dxa"/>
          </w:tcPr>
          <w:p w14:paraId="69FA4B5F">
            <w:pPr>
              <w:spacing w:line="400" w:lineRule="exact"/>
              <w:rPr>
                <w:highlight w:val="none"/>
              </w:rPr>
            </w:pPr>
          </w:p>
        </w:tc>
        <w:tc>
          <w:tcPr>
            <w:tcW w:w="1410" w:type="dxa"/>
          </w:tcPr>
          <w:p w14:paraId="058D10AC">
            <w:pPr>
              <w:spacing w:line="400" w:lineRule="exact"/>
              <w:rPr>
                <w:highlight w:val="none"/>
              </w:rPr>
            </w:pPr>
          </w:p>
        </w:tc>
        <w:tc>
          <w:tcPr>
            <w:tcW w:w="1507" w:type="dxa"/>
          </w:tcPr>
          <w:p w14:paraId="4E8D2E5A">
            <w:pPr>
              <w:spacing w:line="400" w:lineRule="exact"/>
              <w:rPr>
                <w:highlight w:val="none"/>
              </w:rPr>
            </w:pPr>
          </w:p>
        </w:tc>
        <w:tc>
          <w:tcPr>
            <w:tcW w:w="1475" w:type="dxa"/>
          </w:tcPr>
          <w:p w14:paraId="270E248A">
            <w:pPr>
              <w:spacing w:line="400" w:lineRule="exact"/>
              <w:rPr>
                <w:highlight w:val="none"/>
              </w:rPr>
            </w:pPr>
          </w:p>
        </w:tc>
      </w:tr>
      <w:tr w14:paraId="5A152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54" w:type="dxa"/>
          </w:tcPr>
          <w:p w14:paraId="373AC671">
            <w:pPr>
              <w:spacing w:line="400" w:lineRule="exact"/>
              <w:rPr>
                <w:highlight w:val="none"/>
              </w:rPr>
            </w:pPr>
          </w:p>
        </w:tc>
        <w:tc>
          <w:tcPr>
            <w:tcW w:w="1545" w:type="dxa"/>
          </w:tcPr>
          <w:p w14:paraId="52E356D3">
            <w:pPr>
              <w:spacing w:line="400" w:lineRule="exact"/>
              <w:rPr>
                <w:highlight w:val="none"/>
              </w:rPr>
            </w:pPr>
          </w:p>
        </w:tc>
        <w:tc>
          <w:tcPr>
            <w:tcW w:w="1529" w:type="dxa"/>
          </w:tcPr>
          <w:p w14:paraId="26429095">
            <w:pPr>
              <w:spacing w:line="400" w:lineRule="exact"/>
              <w:rPr>
                <w:highlight w:val="none"/>
              </w:rPr>
            </w:pPr>
          </w:p>
        </w:tc>
        <w:tc>
          <w:tcPr>
            <w:tcW w:w="1059" w:type="dxa"/>
          </w:tcPr>
          <w:p w14:paraId="7B5CCD6B">
            <w:pPr>
              <w:spacing w:line="400" w:lineRule="exact"/>
              <w:rPr>
                <w:highlight w:val="none"/>
              </w:rPr>
            </w:pPr>
          </w:p>
        </w:tc>
        <w:tc>
          <w:tcPr>
            <w:tcW w:w="1410" w:type="dxa"/>
          </w:tcPr>
          <w:p w14:paraId="03332EA3">
            <w:pPr>
              <w:spacing w:line="400" w:lineRule="exact"/>
              <w:rPr>
                <w:highlight w:val="none"/>
              </w:rPr>
            </w:pPr>
          </w:p>
        </w:tc>
        <w:tc>
          <w:tcPr>
            <w:tcW w:w="1507" w:type="dxa"/>
          </w:tcPr>
          <w:p w14:paraId="38B80B7C">
            <w:pPr>
              <w:spacing w:line="400" w:lineRule="exact"/>
              <w:rPr>
                <w:highlight w:val="none"/>
              </w:rPr>
            </w:pPr>
          </w:p>
        </w:tc>
        <w:tc>
          <w:tcPr>
            <w:tcW w:w="1475" w:type="dxa"/>
          </w:tcPr>
          <w:p w14:paraId="6E1D6746">
            <w:pPr>
              <w:spacing w:line="400" w:lineRule="exact"/>
              <w:rPr>
                <w:highlight w:val="none"/>
              </w:rPr>
            </w:pPr>
          </w:p>
        </w:tc>
      </w:tr>
    </w:tbl>
    <w:p w14:paraId="3B040535">
      <w:pPr>
        <w:spacing w:line="400" w:lineRule="exact"/>
        <w:rPr>
          <w:highlight w:val="none"/>
        </w:rPr>
      </w:pPr>
    </w:p>
    <w:p w14:paraId="3C03147B">
      <w:pPr>
        <w:tabs>
          <w:tab w:val="left" w:pos="567"/>
        </w:tabs>
        <w:spacing w:line="400" w:lineRule="exact"/>
        <w:ind w:firstLine="420" w:firstLineChars="200"/>
        <w:rPr>
          <w:highlight w:val="none"/>
        </w:rPr>
      </w:pPr>
      <w:r>
        <w:rPr>
          <w:highlight w:val="none"/>
        </w:rPr>
        <w:t>1.本表后附相关合同有效页复印件，应按顺序附于本表后；</w:t>
      </w:r>
    </w:p>
    <w:p w14:paraId="499F058E">
      <w:pPr>
        <w:tabs>
          <w:tab w:val="left" w:pos="567"/>
        </w:tabs>
        <w:spacing w:line="400" w:lineRule="exact"/>
        <w:ind w:firstLine="420" w:firstLineChars="200"/>
        <w:rPr>
          <w:sz w:val="24"/>
          <w:highlight w:val="none"/>
        </w:rPr>
      </w:pPr>
      <w:r>
        <w:rPr>
          <w:highlight w:val="none"/>
        </w:rPr>
        <w:t>2.表格不够</w:t>
      </w:r>
      <w:r>
        <w:rPr>
          <w:rFonts w:hint="eastAsia"/>
          <w:highlight w:val="none"/>
          <w:lang w:eastAsia="zh-CN"/>
        </w:rPr>
        <w:t>供应商</w:t>
      </w:r>
      <w:r>
        <w:rPr>
          <w:highlight w:val="none"/>
        </w:rPr>
        <w:t>可以自行扩展，如有多页，请逐页盖章。</w:t>
      </w:r>
    </w:p>
    <w:p w14:paraId="750E6BAA">
      <w:pPr>
        <w:tabs>
          <w:tab w:val="left" w:pos="567"/>
        </w:tabs>
        <w:spacing w:line="400" w:lineRule="exact"/>
        <w:rPr>
          <w:highlight w:val="none"/>
        </w:rPr>
      </w:pPr>
    </w:p>
    <w:p w14:paraId="621610AC">
      <w:pPr>
        <w:spacing w:line="400" w:lineRule="exact"/>
        <w:rPr>
          <w:highlight w:val="none"/>
          <w:u w:val="single"/>
        </w:rPr>
      </w:pPr>
      <w:r>
        <w:rPr>
          <w:rFonts w:hint="eastAsia"/>
          <w:highlight w:val="none"/>
          <w:lang w:eastAsia="zh-CN"/>
        </w:rPr>
        <w:t>供应商</w:t>
      </w:r>
      <w:r>
        <w:rPr>
          <w:highlight w:val="none"/>
        </w:rPr>
        <w:t>（公章）</w:t>
      </w:r>
      <w:r>
        <w:rPr>
          <w:rFonts w:hint="eastAsia"/>
          <w:highlight w:val="none"/>
        </w:rPr>
        <w:t>：</w:t>
      </w:r>
    </w:p>
    <w:p w14:paraId="49F33A87">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7BCD69E7">
      <w:pPr>
        <w:pStyle w:val="15"/>
        <w:spacing w:line="400" w:lineRule="exact"/>
        <w:ind w:firstLine="0"/>
        <w:rPr>
          <w:highlight w:val="none"/>
        </w:rPr>
      </w:pPr>
      <w:r>
        <w:rPr>
          <w:highlight w:val="none"/>
        </w:rPr>
        <w:t>日期</w:t>
      </w:r>
      <w:r>
        <w:rPr>
          <w:rFonts w:hint="eastAsia"/>
          <w:highlight w:val="none"/>
        </w:rPr>
        <w:t>：</w:t>
      </w:r>
    </w:p>
    <w:p w14:paraId="440DEA7B">
      <w:pPr>
        <w:pStyle w:val="15"/>
        <w:ind w:firstLine="0"/>
        <w:rPr>
          <w:b/>
          <w:kern w:val="0"/>
          <w:highlight w:val="none"/>
        </w:rPr>
      </w:pPr>
    </w:p>
    <w:p w14:paraId="6D4E94F3">
      <w:pPr>
        <w:pStyle w:val="15"/>
        <w:ind w:firstLine="0"/>
        <w:rPr>
          <w:b/>
          <w:kern w:val="0"/>
          <w:highlight w:val="none"/>
        </w:rPr>
      </w:pPr>
    </w:p>
    <w:p w14:paraId="5006B21A">
      <w:pPr>
        <w:pStyle w:val="15"/>
        <w:ind w:firstLine="0"/>
        <w:rPr>
          <w:b/>
          <w:kern w:val="0"/>
          <w:szCs w:val="22"/>
          <w:highlight w:val="none"/>
        </w:rPr>
      </w:pPr>
      <w:r>
        <w:rPr>
          <w:rFonts w:hint="eastAsia"/>
          <w:b/>
          <w:kern w:val="0"/>
          <w:highlight w:val="none"/>
          <w:lang w:val="en-US" w:eastAsia="zh-CN"/>
        </w:rPr>
        <w:t>8</w:t>
      </w:r>
      <w:r>
        <w:rPr>
          <w:b/>
          <w:kern w:val="0"/>
          <w:highlight w:val="none"/>
        </w:rPr>
        <w:t>-</w:t>
      </w:r>
      <w:r>
        <w:rPr>
          <w:rFonts w:hint="eastAsia"/>
          <w:b/>
          <w:kern w:val="0"/>
          <w:highlight w:val="none"/>
          <w:lang w:val="en-US" w:eastAsia="zh-CN"/>
        </w:rPr>
        <w:t>8</w:t>
      </w:r>
      <w:r>
        <w:rPr>
          <w:b/>
          <w:kern w:val="0"/>
          <w:highlight w:val="none"/>
        </w:rPr>
        <w:t>.</w:t>
      </w:r>
      <w:r>
        <w:rPr>
          <w:highlight w:val="none"/>
        </w:rPr>
        <w:t>项目拟投入服务团队人员结构表（包括但不限于学历、证书情况、职称、年龄、业绩及证明材料等）（如磋商文件有要求时提供）</w:t>
      </w:r>
    </w:p>
    <w:p w14:paraId="5E273350">
      <w:pPr>
        <w:pStyle w:val="15"/>
        <w:ind w:firstLine="0"/>
        <w:jc w:val="center"/>
        <w:rPr>
          <w:b/>
          <w:kern w:val="0"/>
          <w:szCs w:val="22"/>
          <w:highlight w:val="none"/>
        </w:rPr>
      </w:pPr>
      <w:r>
        <w:rPr>
          <w:rFonts w:hint="eastAsia"/>
          <w:highlight w:val="none"/>
          <w:lang w:val="en-US" w:eastAsia="zh-CN"/>
        </w:rPr>
        <w:t>8-7</w:t>
      </w:r>
      <w:r>
        <w:rPr>
          <w:rFonts w:hint="eastAsia"/>
          <w:highlight w:val="none"/>
        </w:rPr>
        <w:t>-1.</w:t>
      </w:r>
      <w:r>
        <w:rPr>
          <w:highlight w:val="none"/>
        </w:rPr>
        <w:t>项目拟投入服务团队人员（含项目负责人）一览表</w:t>
      </w:r>
    </w:p>
    <w:tbl>
      <w:tblPr>
        <w:tblStyle w:val="4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40"/>
        <w:gridCol w:w="1432"/>
        <w:gridCol w:w="1455"/>
        <w:gridCol w:w="1791"/>
        <w:gridCol w:w="1890"/>
        <w:gridCol w:w="1837"/>
      </w:tblGrid>
      <w:tr w14:paraId="2C5A8B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51"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36617C88">
            <w:pPr>
              <w:pStyle w:val="28"/>
              <w:jc w:val="center"/>
              <w:rPr>
                <w:sz w:val="21"/>
                <w:szCs w:val="21"/>
                <w:highlight w:val="none"/>
              </w:rPr>
            </w:pPr>
            <w:r>
              <w:rPr>
                <w:sz w:val="21"/>
                <w:szCs w:val="21"/>
                <w:highlight w:val="none"/>
              </w:rPr>
              <w:t>序号</w:t>
            </w:r>
          </w:p>
        </w:tc>
        <w:tc>
          <w:tcPr>
            <w:tcW w:w="1432" w:type="dxa"/>
            <w:tcBorders>
              <w:top w:val="single" w:color="auto" w:sz="4" w:space="0"/>
              <w:left w:val="single" w:color="auto" w:sz="4" w:space="0"/>
              <w:bottom w:val="single" w:color="auto" w:sz="4" w:space="0"/>
              <w:right w:val="single" w:color="auto" w:sz="4" w:space="0"/>
            </w:tcBorders>
            <w:vAlign w:val="center"/>
          </w:tcPr>
          <w:p w14:paraId="3FB9B754">
            <w:pPr>
              <w:pStyle w:val="28"/>
              <w:jc w:val="center"/>
              <w:rPr>
                <w:sz w:val="21"/>
                <w:szCs w:val="21"/>
                <w:highlight w:val="none"/>
              </w:rPr>
            </w:pPr>
            <w:r>
              <w:rPr>
                <w:sz w:val="21"/>
                <w:szCs w:val="21"/>
                <w:highlight w:val="none"/>
              </w:rPr>
              <w:t>姓名</w:t>
            </w:r>
          </w:p>
        </w:tc>
        <w:tc>
          <w:tcPr>
            <w:tcW w:w="1455" w:type="dxa"/>
            <w:tcBorders>
              <w:top w:val="single" w:color="auto" w:sz="4" w:space="0"/>
              <w:left w:val="single" w:color="auto" w:sz="4" w:space="0"/>
              <w:bottom w:val="single" w:color="auto" w:sz="4" w:space="0"/>
              <w:right w:val="single" w:color="auto" w:sz="4" w:space="0"/>
            </w:tcBorders>
            <w:vAlign w:val="center"/>
          </w:tcPr>
          <w:p w14:paraId="297EE2B7">
            <w:pPr>
              <w:pStyle w:val="28"/>
              <w:jc w:val="center"/>
              <w:rPr>
                <w:sz w:val="21"/>
                <w:szCs w:val="21"/>
                <w:highlight w:val="none"/>
              </w:rPr>
            </w:pPr>
            <w:r>
              <w:rPr>
                <w:sz w:val="21"/>
                <w:szCs w:val="21"/>
                <w:highlight w:val="none"/>
              </w:rPr>
              <w:t>部门和职务</w:t>
            </w:r>
          </w:p>
        </w:tc>
        <w:tc>
          <w:tcPr>
            <w:tcW w:w="1791" w:type="dxa"/>
            <w:tcBorders>
              <w:top w:val="single" w:color="auto" w:sz="4" w:space="0"/>
              <w:left w:val="single" w:color="auto" w:sz="4" w:space="0"/>
              <w:bottom w:val="single" w:color="auto" w:sz="4" w:space="0"/>
              <w:right w:val="single" w:color="auto" w:sz="4" w:space="0"/>
            </w:tcBorders>
            <w:vAlign w:val="center"/>
          </w:tcPr>
          <w:p w14:paraId="48896530">
            <w:pPr>
              <w:pStyle w:val="28"/>
              <w:jc w:val="center"/>
              <w:rPr>
                <w:sz w:val="21"/>
                <w:szCs w:val="21"/>
                <w:highlight w:val="none"/>
              </w:rPr>
            </w:pPr>
            <w:r>
              <w:rPr>
                <w:rFonts w:hint="eastAsia"/>
                <w:sz w:val="21"/>
                <w:szCs w:val="21"/>
                <w:highlight w:val="none"/>
              </w:rPr>
              <w:t>拟作本项目角色</w:t>
            </w:r>
          </w:p>
        </w:tc>
        <w:tc>
          <w:tcPr>
            <w:tcW w:w="1890" w:type="dxa"/>
            <w:tcBorders>
              <w:top w:val="single" w:color="auto" w:sz="4" w:space="0"/>
              <w:left w:val="single" w:color="auto" w:sz="4" w:space="0"/>
              <w:bottom w:val="single" w:color="auto" w:sz="4" w:space="0"/>
              <w:right w:val="single" w:color="auto" w:sz="4" w:space="0"/>
            </w:tcBorders>
            <w:vAlign w:val="center"/>
          </w:tcPr>
          <w:p w14:paraId="39450B95">
            <w:pPr>
              <w:pStyle w:val="28"/>
              <w:jc w:val="center"/>
              <w:rPr>
                <w:sz w:val="21"/>
                <w:szCs w:val="21"/>
                <w:highlight w:val="none"/>
              </w:rPr>
            </w:pPr>
            <w:r>
              <w:rPr>
                <w:rFonts w:hint="eastAsia"/>
                <w:sz w:val="21"/>
                <w:szCs w:val="21"/>
                <w:highlight w:val="none"/>
              </w:rPr>
              <w:t>从业经验</w:t>
            </w:r>
          </w:p>
        </w:tc>
        <w:tc>
          <w:tcPr>
            <w:tcW w:w="1837" w:type="dxa"/>
            <w:tcBorders>
              <w:top w:val="single" w:color="auto" w:sz="4" w:space="0"/>
              <w:left w:val="single" w:color="auto" w:sz="4" w:space="0"/>
              <w:bottom w:val="single" w:color="auto" w:sz="4" w:space="0"/>
              <w:right w:val="single" w:color="auto" w:sz="4" w:space="0"/>
            </w:tcBorders>
            <w:vAlign w:val="center"/>
          </w:tcPr>
          <w:p w14:paraId="1B5BF741">
            <w:pPr>
              <w:pStyle w:val="28"/>
              <w:jc w:val="center"/>
              <w:rPr>
                <w:sz w:val="21"/>
                <w:szCs w:val="21"/>
                <w:highlight w:val="none"/>
              </w:rPr>
            </w:pPr>
            <w:r>
              <w:rPr>
                <w:rFonts w:hint="eastAsia"/>
                <w:sz w:val="21"/>
                <w:szCs w:val="21"/>
                <w:highlight w:val="none"/>
              </w:rPr>
              <w:t>备注</w:t>
            </w:r>
          </w:p>
        </w:tc>
      </w:tr>
      <w:tr w14:paraId="3FE52F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4EC0B57A">
            <w:pPr>
              <w:pStyle w:val="28"/>
              <w:spacing w:line="360" w:lineRule="auto"/>
              <w:jc w:val="center"/>
              <w:rPr>
                <w:sz w:val="21"/>
                <w:szCs w:val="21"/>
                <w:highlight w:val="none"/>
              </w:rPr>
            </w:pPr>
            <w:r>
              <w:rPr>
                <w:sz w:val="21"/>
                <w:szCs w:val="21"/>
                <w:highlight w:val="none"/>
              </w:rPr>
              <w:t>1</w:t>
            </w:r>
          </w:p>
        </w:tc>
        <w:tc>
          <w:tcPr>
            <w:tcW w:w="1432" w:type="dxa"/>
            <w:tcBorders>
              <w:top w:val="single" w:color="auto" w:sz="4" w:space="0"/>
              <w:left w:val="single" w:color="auto" w:sz="4" w:space="0"/>
              <w:bottom w:val="single" w:color="auto" w:sz="4" w:space="0"/>
              <w:right w:val="single" w:color="auto" w:sz="4" w:space="0"/>
            </w:tcBorders>
            <w:vAlign w:val="center"/>
          </w:tcPr>
          <w:p w14:paraId="14CC30DD">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741689DF">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4EC8181A">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78333BC7">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76035EA2">
            <w:pPr>
              <w:pStyle w:val="28"/>
              <w:spacing w:line="360" w:lineRule="auto"/>
              <w:jc w:val="center"/>
              <w:rPr>
                <w:sz w:val="21"/>
                <w:szCs w:val="21"/>
                <w:highlight w:val="none"/>
              </w:rPr>
            </w:pPr>
          </w:p>
        </w:tc>
      </w:tr>
      <w:tr w14:paraId="56A384F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0174D763">
            <w:pPr>
              <w:pStyle w:val="28"/>
              <w:spacing w:line="360" w:lineRule="auto"/>
              <w:jc w:val="center"/>
              <w:rPr>
                <w:sz w:val="21"/>
                <w:szCs w:val="21"/>
                <w:highlight w:val="none"/>
              </w:rPr>
            </w:pPr>
            <w:r>
              <w:rPr>
                <w:sz w:val="21"/>
                <w:szCs w:val="21"/>
                <w:highlight w:val="none"/>
              </w:rPr>
              <w:t>2</w:t>
            </w:r>
          </w:p>
        </w:tc>
        <w:tc>
          <w:tcPr>
            <w:tcW w:w="1432" w:type="dxa"/>
            <w:tcBorders>
              <w:top w:val="single" w:color="auto" w:sz="4" w:space="0"/>
              <w:left w:val="single" w:color="auto" w:sz="4" w:space="0"/>
              <w:bottom w:val="single" w:color="auto" w:sz="4" w:space="0"/>
              <w:right w:val="single" w:color="auto" w:sz="4" w:space="0"/>
            </w:tcBorders>
            <w:vAlign w:val="center"/>
          </w:tcPr>
          <w:p w14:paraId="66531647">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5DDD33CA">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68256E95">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622425D9">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5B4CF0C">
            <w:pPr>
              <w:pStyle w:val="28"/>
              <w:spacing w:line="360" w:lineRule="auto"/>
              <w:jc w:val="center"/>
              <w:rPr>
                <w:sz w:val="21"/>
                <w:szCs w:val="21"/>
                <w:highlight w:val="none"/>
              </w:rPr>
            </w:pPr>
          </w:p>
        </w:tc>
      </w:tr>
      <w:tr w14:paraId="3974C4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jc w:val="center"/>
        </w:trPr>
        <w:tc>
          <w:tcPr>
            <w:tcW w:w="840" w:type="dxa"/>
            <w:tcBorders>
              <w:top w:val="single" w:color="auto" w:sz="4" w:space="0"/>
              <w:left w:val="single" w:color="auto" w:sz="4" w:space="0"/>
              <w:bottom w:val="single" w:color="auto" w:sz="4" w:space="0"/>
              <w:right w:val="single" w:color="auto" w:sz="4" w:space="0"/>
            </w:tcBorders>
            <w:vAlign w:val="center"/>
          </w:tcPr>
          <w:p w14:paraId="52322DCA">
            <w:pPr>
              <w:pStyle w:val="28"/>
              <w:spacing w:line="360" w:lineRule="auto"/>
              <w:jc w:val="center"/>
              <w:rPr>
                <w:sz w:val="21"/>
                <w:szCs w:val="21"/>
                <w:highlight w:val="none"/>
              </w:rPr>
            </w:pPr>
            <w:r>
              <w:rPr>
                <w:sz w:val="21"/>
                <w:szCs w:val="21"/>
                <w:highlight w:val="none"/>
              </w:rPr>
              <w:t>...</w:t>
            </w:r>
          </w:p>
        </w:tc>
        <w:tc>
          <w:tcPr>
            <w:tcW w:w="1432" w:type="dxa"/>
            <w:tcBorders>
              <w:top w:val="single" w:color="auto" w:sz="4" w:space="0"/>
              <w:left w:val="single" w:color="auto" w:sz="4" w:space="0"/>
              <w:bottom w:val="single" w:color="auto" w:sz="4" w:space="0"/>
              <w:right w:val="single" w:color="auto" w:sz="4" w:space="0"/>
            </w:tcBorders>
            <w:vAlign w:val="center"/>
          </w:tcPr>
          <w:p w14:paraId="157C9AD7">
            <w:pPr>
              <w:pStyle w:val="28"/>
              <w:spacing w:line="360" w:lineRule="auto"/>
              <w:jc w:val="center"/>
              <w:rPr>
                <w:sz w:val="21"/>
                <w:szCs w:val="21"/>
                <w:highlight w:val="none"/>
              </w:rPr>
            </w:pPr>
          </w:p>
        </w:tc>
        <w:tc>
          <w:tcPr>
            <w:tcW w:w="1455" w:type="dxa"/>
            <w:tcBorders>
              <w:top w:val="single" w:color="auto" w:sz="4" w:space="0"/>
              <w:left w:val="single" w:color="auto" w:sz="4" w:space="0"/>
              <w:bottom w:val="single" w:color="auto" w:sz="4" w:space="0"/>
              <w:right w:val="single" w:color="auto" w:sz="4" w:space="0"/>
            </w:tcBorders>
            <w:vAlign w:val="center"/>
          </w:tcPr>
          <w:p w14:paraId="3D992768">
            <w:pPr>
              <w:pStyle w:val="28"/>
              <w:spacing w:line="360" w:lineRule="auto"/>
              <w:jc w:val="center"/>
              <w:rPr>
                <w:sz w:val="21"/>
                <w:szCs w:val="21"/>
                <w:highlight w:val="none"/>
              </w:rPr>
            </w:pPr>
          </w:p>
        </w:tc>
        <w:tc>
          <w:tcPr>
            <w:tcW w:w="1791" w:type="dxa"/>
            <w:tcBorders>
              <w:top w:val="single" w:color="auto" w:sz="4" w:space="0"/>
              <w:left w:val="single" w:color="auto" w:sz="4" w:space="0"/>
              <w:bottom w:val="single" w:color="auto" w:sz="4" w:space="0"/>
              <w:right w:val="single" w:color="auto" w:sz="4" w:space="0"/>
            </w:tcBorders>
            <w:vAlign w:val="center"/>
          </w:tcPr>
          <w:p w14:paraId="3D011304">
            <w:pPr>
              <w:pStyle w:val="28"/>
              <w:spacing w:line="360" w:lineRule="auto"/>
              <w:jc w:val="center"/>
              <w:rPr>
                <w:sz w:val="21"/>
                <w:szCs w:val="21"/>
                <w:highlight w:val="none"/>
              </w:rPr>
            </w:pPr>
          </w:p>
        </w:tc>
        <w:tc>
          <w:tcPr>
            <w:tcW w:w="1890" w:type="dxa"/>
            <w:tcBorders>
              <w:top w:val="single" w:color="auto" w:sz="4" w:space="0"/>
              <w:left w:val="single" w:color="auto" w:sz="4" w:space="0"/>
              <w:bottom w:val="single" w:color="auto" w:sz="4" w:space="0"/>
              <w:right w:val="single" w:color="auto" w:sz="4" w:space="0"/>
            </w:tcBorders>
            <w:vAlign w:val="center"/>
          </w:tcPr>
          <w:p w14:paraId="3FE2429E">
            <w:pPr>
              <w:pStyle w:val="28"/>
              <w:spacing w:line="360" w:lineRule="auto"/>
              <w:jc w:val="center"/>
              <w:rPr>
                <w:sz w:val="21"/>
                <w:szCs w:val="21"/>
                <w:highlight w:val="none"/>
              </w:rPr>
            </w:pPr>
          </w:p>
        </w:tc>
        <w:tc>
          <w:tcPr>
            <w:tcW w:w="1837" w:type="dxa"/>
            <w:tcBorders>
              <w:top w:val="single" w:color="auto" w:sz="4" w:space="0"/>
              <w:left w:val="single" w:color="auto" w:sz="4" w:space="0"/>
              <w:bottom w:val="single" w:color="auto" w:sz="4" w:space="0"/>
              <w:right w:val="single" w:color="auto" w:sz="4" w:space="0"/>
            </w:tcBorders>
            <w:vAlign w:val="center"/>
          </w:tcPr>
          <w:p w14:paraId="661875FE">
            <w:pPr>
              <w:pStyle w:val="28"/>
              <w:spacing w:line="360" w:lineRule="auto"/>
              <w:jc w:val="center"/>
              <w:rPr>
                <w:sz w:val="21"/>
                <w:szCs w:val="21"/>
                <w:highlight w:val="none"/>
              </w:rPr>
            </w:pPr>
          </w:p>
        </w:tc>
      </w:tr>
    </w:tbl>
    <w:p w14:paraId="484B9E02">
      <w:pPr>
        <w:pStyle w:val="25"/>
        <w:spacing w:line="400" w:lineRule="exact"/>
        <w:rPr>
          <w:rFonts w:ascii="Times New Roman" w:hAnsi="Times New Roman" w:eastAsia="宋体" w:cs="Times New Roman"/>
          <w:highlight w:val="none"/>
        </w:rPr>
      </w:pPr>
    </w:p>
    <w:p w14:paraId="259039E3">
      <w:pPr>
        <w:pStyle w:val="25"/>
        <w:spacing w:line="400" w:lineRule="exact"/>
        <w:jc w:val="center"/>
        <w:rPr>
          <w:rFonts w:ascii="Times New Roman" w:hAnsi="Times New Roman" w:eastAsia="宋体" w:cs="Times New Roman"/>
          <w:highlight w:val="none"/>
        </w:rPr>
      </w:pPr>
      <w:r>
        <w:rPr>
          <w:rFonts w:hint="eastAsia" w:ascii="Times New Roman" w:hAnsi="Times New Roman" w:eastAsia="宋体" w:cs="Times New Roman"/>
          <w:highlight w:val="none"/>
          <w:lang w:val="en-US" w:eastAsia="zh-CN"/>
        </w:rPr>
        <w:t>8</w:t>
      </w:r>
      <w:r>
        <w:rPr>
          <w:rFonts w:hint="eastAsia" w:ascii="Times New Roman" w:hAnsi="Times New Roman" w:eastAsia="宋体" w:cs="Times New Roman"/>
          <w:highlight w:val="none"/>
        </w:rPr>
        <w:t>-</w:t>
      </w:r>
      <w:r>
        <w:rPr>
          <w:rFonts w:hint="eastAsia" w:ascii="Times New Roman" w:hAnsi="Times New Roman" w:eastAsia="宋体" w:cs="Times New Roman"/>
          <w:highlight w:val="none"/>
          <w:lang w:val="en-US" w:eastAsia="zh-CN"/>
        </w:rPr>
        <w:t>7</w:t>
      </w:r>
      <w:r>
        <w:rPr>
          <w:rFonts w:hint="eastAsia" w:ascii="Times New Roman" w:hAnsi="Times New Roman" w:eastAsia="宋体" w:cs="Times New Roman"/>
          <w:highlight w:val="none"/>
        </w:rPr>
        <w:t>-2项目拟投入服务团队人员简历表</w:t>
      </w:r>
    </w:p>
    <w:tbl>
      <w:tblPr>
        <w:tblStyle w:val="42"/>
        <w:tblW w:w="9765" w:type="dxa"/>
        <w:jc w:val="center"/>
        <w:tblLayout w:type="fixed"/>
        <w:tblCellMar>
          <w:top w:w="0" w:type="dxa"/>
          <w:left w:w="0" w:type="dxa"/>
          <w:bottom w:w="0" w:type="dxa"/>
          <w:right w:w="0" w:type="dxa"/>
        </w:tblCellMar>
      </w:tblPr>
      <w:tblGrid>
        <w:gridCol w:w="852"/>
        <w:gridCol w:w="735"/>
        <w:gridCol w:w="1191"/>
        <w:gridCol w:w="418"/>
        <w:gridCol w:w="694"/>
        <w:gridCol w:w="1412"/>
        <w:gridCol w:w="883"/>
        <w:gridCol w:w="1125"/>
        <w:gridCol w:w="1170"/>
        <w:gridCol w:w="1285"/>
      </w:tblGrid>
      <w:tr w14:paraId="2B015F08">
        <w:tblPrEx>
          <w:tblCellMar>
            <w:top w:w="0" w:type="dxa"/>
            <w:left w:w="0" w:type="dxa"/>
            <w:bottom w:w="0" w:type="dxa"/>
            <w:right w:w="0" w:type="dxa"/>
          </w:tblCellMar>
        </w:tblPrEx>
        <w:trPr>
          <w:trHeight w:val="51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3B71269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姓名</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14CA773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640A35F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性别</w:t>
            </w:r>
          </w:p>
        </w:tc>
        <w:tc>
          <w:tcPr>
            <w:tcW w:w="1412" w:type="dxa"/>
            <w:tcBorders>
              <w:top w:val="single" w:color="auto" w:sz="6" w:space="0"/>
              <w:left w:val="single" w:color="auto" w:sz="6" w:space="0"/>
              <w:bottom w:val="single" w:color="auto" w:sz="6" w:space="0"/>
              <w:right w:val="single" w:color="auto" w:sz="6" w:space="0"/>
            </w:tcBorders>
            <w:vAlign w:val="center"/>
          </w:tcPr>
          <w:p w14:paraId="19EE36E4">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6418D0E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年龄</w:t>
            </w:r>
          </w:p>
        </w:tc>
        <w:tc>
          <w:tcPr>
            <w:tcW w:w="1125" w:type="dxa"/>
            <w:tcBorders>
              <w:top w:val="single" w:color="auto" w:sz="6" w:space="0"/>
              <w:left w:val="single" w:color="auto" w:sz="6" w:space="0"/>
              <w:bottom w:val="single" w:color="auto" w:sz="6" w:space="0"/>
              <w:right w:val="single" w:color="auto" w:sz="6" w:space="0"/>
            </w:tcBorders>
            <w:vAlign w:val="center"/>
          </w:tcPr>
          <w:p w14:paraId="4C69643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0D0688F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政治面貌</w:t>
            </w:r>
          </w:p>
        </w:tc>
        <w:tc>
          <w:tcPr>
            <w:tcW w:w="1285" w:type="dxa"/>
            <w:tcBorders>
              <w:top w:val="single" w:color="auto" w:sz="6" w:space="0"/>
              <w:left w:val="single" w:color="auto" w:sz="6" w:space="0"/>
              <w:bottom w:val="single" w:color="auto" w:sz="6" w:space="0"/>
              <w:right w:val="single" w:color="auto" w:sz="6" w:space="0"/>
            </w:tcBorders>
            <w:vAlign w:val="center"/>
          </w:tcPr>
          <w:p w14:paraId="272B1B89">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617A254F">
        <w:tblPrEx>
          <w:tblCellMar>
            <w:top w:w="0" w:type="dxa"/>
            <w:left w:w="0" w:type="dxa"/>
            <w:bottom w:w="0" w:type="dxa"/>
            <w:right w:w="0" w:type="dxa"/>
          </w:tblCellMar>
        </w:tblPrEx>
        <w:trPr>
          <w:trHeight w:val="502" w:hRule="atLeast"/>
          <w:jc w:val="center"/>
        </w:trPr>
        <w:tc>
          <w:tcPr>
            <w:tcW w:w="852" w:type="dxa"/>
            <w:tcBorders>
              <w:top w:val="single" w:color="auto" w:sz="6" w:space="0"/>
              <w:left w:val="single" w:color="auto" w:sz="6" w:space="0"/>
              <w:bottom w:val="single" w:color="auto" w:sz="6" w:space="0"/>
              <w:right w:val="single" w:color="auto" w:sz="6" w:space="0"/>
            </w:tcBorders>
            <w:vAlign w:val="center"/>
          </w:tcPr>
          <w:p w14:paraId="13F4B1C7">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职务</w:t>
            </w:r>
          </w:p>
        </w:tc>
        <w:tc>
          <w:tcPr>
            <w:tcW w:w="1926" w:type="dxa"/>
            <w:gridSpan w:val="2"/>
            <w:tcBorders>
              <w:top w:val="single" w:color="auto" w:sz="6" w:space="0"/>
              <w:left w:val="single" w:color="auto" w:sz="6" w:space="0"/>
              <w:bottom w:val="single" w:color="auto" w:sz="6" w:space="0"/>
              <w:right w:val="single" w:color="auto" w:sz="6" w:space="0"/>
            </w:tcBorders>
            <w:vAlign w:val="center"/>
          </w:tcPr>
          <w:p w14:paraId="5D188DF9">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12" w:type="dxa"/>
            <w:gridSpan w:val="2"/>
            <w:tcBorders>
              <w:top w:val="single" w:color="auto" w:sz="6" w:space="0"/>
              <w:left w:val="single" w:color="auto" w:sz="6" w:space="0"/>
              <w:bottom w:val="single" w:color="auto" w:sz="6" w:space="0"/>
              <w:right w:val="single" w:color="auto" w:sz="6" w:space="0"/>
            </w:tcBorders>
            <w:vAlign w:val="center"/>
          </w:tcPr>
          <w:p w14:paraId="7AF80C30">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职称</w:t>
            </w:r>
          </w:p>
        </w:tc>
        <w:tc>
          <w:tcPr>
            <w:tcW w:w="1412" w:type="dxa"/>
            <w:tcBorders>
              <w:top w:val="single" w:color="auto" w:sz="6" w:space="0"/>
              <w:left w:val="single" w:color="auto" w:sz="6" w:space="0"/>
              <w:bottom w:val="single" w:color="auto" w:sz="6" w:space="0"/>
              <w:right w:val="single" w:color="auto" w:sz="6" w:space="0"/>
            </w:tcBorders>
            <w:vAlign w:val="center"/>
          </w:tcPr>
          <w:p w14:paraId="51AA1A5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883" w:type="dxa"/>
            <w:tcBorders>
              <w:top w:val="single" w:color="auto" w:sz="6" w:space="0"/>
              <w:left w:val="single" w:color="auto" w:sz="6" w:space="0"/>
              <w:bottom w:val="single" w:color="auto" w:sz="6" w:space="0"/>
              <w:right w:val="single" w:color="auto" w:sz="6" w:space="0"/>
            </w:tcBorders>
            <w:vAlign w:val="center"/>
          </w:tcPr>
          <w:p w14:paraId="798B4F60">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学历</w:t>
            </w:r>
          </w:p>
        </w:tc>
        <w:tc>
          <w:tcPr>
            <w:tcW w:w="1125" w:type="dxa"/>
            <w:tcBorders>
              <w:top w:val="single" w:color="auto" w:sz="6" w:space="0"/>
              <w:left w:val="single" w:color="auto" w:sz="6" w:space="0"/>
              <w:bottom w:val="single" w:color="auto" w:sz="6" w:space="0"/>
              <w:right w:val="single" w:color="auto" w:sz="6" w:space="0"/>
            </w:tcBorders>
            <w:vAlign w:val="center"/>
          </w:tcPr>
          <w:p w14:paraId="3AF8860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170" w:type="dxa"/>
            <w:tcBorders>
              <w:top w:val="single" w:color="auto" w:sz="6" w:space="0"/>
              <w:left w:val="single" w:color="auto" w:sz="6" w:space="0"/>
              <w:bottom w:val="single" w:color="auto" w:sz="6" w:space="0"/>
              <w:right w:val="single" w:color="auto" w:sz="6" w:space="0"/>
            </w:tcBorders>
            <w:vAlign w:val="center"/>
          </w:tcPr>
          <w:p w14:paraId="601CB37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健康状况</w:t>
            </w:r>
          </w:p>
        </w:tc>
        <w:tc>
          <w:tcPr>
            <w:tcW w:w="1285" w:type="dxa"/>
            <w:tcBorders>
              <w:top w:val="single" w:color="auto" w:sz="6" w:space="0"/>
              <w:left w:val="single" w:color="auto" w:sz="6" w:space="0"/>
              <w:bottom w:val="single" w:color="auto" w:sz="6" w:space="0"/>
              <w:right w:val="single" w:color="auto" w:sz="6" w:space="0"/>
            </w:tcBorders>
            <w:vAlign w:val="center"/>
          </w:tcPr>
          <w:p w14:paraId="19DBAAAF">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4C5E7C43">
        <w:tblPrEx>
          <w:tblCellMar>
            <w:top w:w="0" w:type="dxa"/>
            <w:left w:w="0" w:type="dxa"/>
            <w:bottom w:w="0" w:type="dxa"/>
            <w:right w:w="0" w:type="dxa"/>
          </w:tblCellMar>
        </w:tblPrEx>
        <w:trPr>
          <w:trHeight w:val="451"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590961D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毕业院校/专业</w:t>
            </w:r>
          </w:p>
        </w:tc>
        <w:tc>
          <w:tcPr>
            <w:tcW w:w="2524" w:type="dxa"/>
            <w:gridSpan w:val="3"/>
            <w:tcBorders>
              <w:top w:val="single" w:color="auto" w:sz="6" w:space="0"/>
              <w:left w:val="single" w:color="auto" w:sz="6" w:space="0"/>
              <w:bottom w:val="single" w:color="auto" w:sz="6" w:space="0"/>
              <w:right w:val="single" w:color="auto" w:sz="4" w:space="0"/>
            </w:tcBorders>
            <w:vAlign w:val="center"/>
          </w:tcPr>
          <w:p w14:paraId="00216344">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4" w:space="0"/>
              <w:bottom w:val="single" w:color="auto" w:sz="6" w:space="0"/>
              <w:right w:val="single" w:color="auto" w:sz="6" w:space="0"/>
            </w:tcBorders>
            <w:vAlign w:val="center"/>
          </w:tcPr>
          <w:p w14:paraId="7CC703AF">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参加工作时间</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7FE7D48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0117E9D3">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689B4AFF">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技术职称编号</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0E9F53C6">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205B8944">
        <w:tblPrEx>
          <w:tblCellMar>
            <w:top w:w="0" w:type="dxa"/>
            <w:left w:w="0" w:type="dxa"/>
            <w:bottom w:w="0" w:type="dxa"/>
            <w:right w:w="0" w:type="dxa"/>
          </w:tblCellMar>
        </w:tblPrEx>
        <w:trPr>
          <w:trHeight w:val="457" w:hRule="atLeast"/>
          <w:jc w:val="center"/>
        </w:trPr>
        <w:tc>
          <w:tcPr>
            <w:tcW w:w="2778" w:type="dxa"/>
            <w:gridSpan w:val="3"/>
            <w:tcBorders>
              <w:top w:val="single" w:color="auto" w:sz="6" w:space="0"/>
              <w:left w:val="single" w:color="auto" w:sz="6" w:space="0"/>
              <w:bottom w:val="single" w:color="auto" w:sz="6" w:space="0"/>
              <w:right w:val="single" w:color="auto" w:sz="6" w:space="0"/>
            </w:tcBorders>
            <w:vAlign w:val="center"/>
          </w:tcPr>
          <w:p w14:paraId="229882C6">
            <w:pPr>
              <w:autoSpaceDE w:val="0"/>
              <w:autoSpaceDN w:val="0"/>
              <w:adjustRightInd w:val="0"/>
              <w:spacing w:line="400" w:lineRule="exact"/>
              <w:jc w:val="center"/>
              <w:rPr>
                <w:highlight w:val="none"/>
              </w:rPr>
            </w:pPr>
            <w:r>
              <w:rPr>
                <w:highlight w:val="none"/>
              </w:rPr>
              <w:t>获得认证资质证书</w:t>
            </w:r>
          </w:p>
          <w:p w14:paraId="24D81DAE">
            <w:pPr>
              <w:autoSpaceDE w:val="0"/>
              <w:autoSpaceDN w:val="0"/>
              <w:adjustRightInd w:val="0"/>
              <w:spacing w:line="400" w:lineRule="exact"/>
              <w:jc w:val="center"/>
              <w:rPr>
                <w:rFonts w:asciiTheme="minorEastAsia" w:hAnsiTheme="minorEastAsia" w:eastAsiaTheme="minorEastAsia" w:cstheme="minorEastAsia"/>
                <w:kern w:val="0"/>
                <w:highlight w:val="none"/>
              </w:rPr>
            </w:pPr>
            <w:r>
              <w:rPr>
                <w:highlight w:val="none"/>
              </w:rPr>
              <w:t>（持证情况）</w:t>
            </w:r>
          </w:p>
        </w:tc>
        <w:tc>
          <w:tcPr>
            <w:tcW w:w="6987" w:type="dxa"/>
            <w:gridSpan w:val="7"/>
            <w:tcBorders>
              <w:top w:val="single" w:color="auto" w:sz="6" w:space="0"/>
              <w:left w:val="single" w:color="auto" w:sz="6" w:space="0"/>
              <w:bottom w:val="single" w:color="auto" w:sz="6" w:space="0"/>
              <w:right w:val="single" w:color="auto" w:sz="6" w:space="0"/>
            </w:tcBorders>
            <w:vAlign w:val="center"/>
          </w:tcPr>
          <w:p w14:paraId="62080E78">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4744F67F">
        <w:tblPrEx>
          <w:tblCellMar>
            <w:top w:w="0" w:type="dxa"/>
            <w:left w:w="0" w:type="dxa"/>
            <w:bottom w:w="0" w:type="dxa"/>
            <w:right w:w="0" w:type="dxa"/>
          </w:tblCellMar>
        </w:tblPrEx>
        <w:trPr>
          <w:jc w:val="center"/>
        </w:trPr>
        <w:tc>
          <w:tcPr>
            <w:tcW w:w="9765" w:type="dxa"/>
            <w:gridSpan w:val="10"/>
            <w:tcBorders>
              <w:top w:val="single" w:color="auto" w:sz="6" w:space="0"/>
              <w:left w:val="single" w:color="auto" w:sz="6" w:space="0"/>
              <w:bottom w:val="single" w:color="auto" w:sz="6" w:space="0"/>
              <w:right w:val="single" w:color="auto" w:sz="6" w:space="0"/>
            </w:tcBorders>
            <w:vAlign w:val="center"/>
          </w:tcPr>
          <w:p w14:paraId="6BAF1B77">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类似项目服务情况</w:t>
            </w:r>
          </w:p>
        </w:tc>
      </w:tr>
      <w:tr w14:paraId="182E34AC">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2A95B2AB">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项目实施单位</w:t>
            </w: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C8774B6">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项目名称</w:t>
            </w: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62CA89B1">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项目起止日期</w:t>
            </w: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399B67D8">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项目角色</w:t>
            </w: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0916B7FD">
            <w:pPr>
              <w:autoSpaceDE w:val="0"/>
              <w:autoSpaceDN w:val="0"/>
              <w:adjustRightInd w:val="0"/>
              <w:spacing w:line="400" w:lineRule="exact"/>
              <w:jc w:val="center"/>
              <w:rPr>
                <w:rFonts w:asciiTheme="minorEastAsia" w:hAnsiTheme="minorEastAsia" w:eastAsiaTheme="minorEastAsia" w:cstheme="minorEastAsia"/>
                <w:kern w:val="0"/>
                <w:highlight w:val="none"/>
              </w:rPr>
            </w:pPr>
            <w:r>
              <w:rPr>
                <w:rFonts w:hint="eastAsia" w:asciiTheme="minorEastAsia" w:hAnsiTheme="minorEastAsia" w:eastAsiaTheme="minorEastAsia" w:cstheme="minorEastAsia"/>
                <w:kern w:val="0"/>
                <w:highlight w:val="none"/>
              </w:rPr>
              <w:t>工作职责及工作内容</w:t>
            </w:r>
          </w:p>
        </w:tc>
      </w:tr>
      <w:tr w14:paraId="4C47703E">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432A87B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546428B4">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5074F521">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E4F542D">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9894CAC">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r w14:paraId="2A6560A8">
        <w:tblPrEx>
          <w:tblCellMar>
            <w:top w:w="0" w:type="dxa"/>
            <w:left w:w="0" w:type="dxa"/>
            <w:bottom w:w="0" w:type="dxa"/>
            <w:right w:w="0" w:type="dxa"/>
          </w:tblCellMar>
        </w:tblPrEx>
        <w:trPr>
          <w:jc w:val="center"/>
        </w:trPr>
        <w:tc>
          <w:tcPr>
            <w:tcW w:w="1587" w:type="dxa"/>
            <w:gridSpan w:val="2"/>
            <w:tcBorders>
              <w:top w:val="single" w:color="auto" w:sz="6" w:space="0"/>
              <w:left w:val="single" w:color="auto" w:sz="6" w:space="0"/>
              <w:bottom w:val="single" w:color="auto" w:sz="6" w:space="0"/>
              <w:right w:val="single" w:color="auto" w:sz="6" w:space="0"/>
            </w:tcBorders>
            <w:vAlign w:val="center"/>
          </w:tcPr>
          <w:p w14:paraId="724A1FC8">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1609" w:type="dxa"/>
            <w:gridSpan w:val="2"/>
            <w:tcBorders>
              <w:top w:val="single" w:color="auto" w:sz="6" w:space="0"/>
              <w:left w:val="single" w:color="auto" w:sz="6" w:space="0"/>
              <w:bottom w:val="single" w:color="auto" w:sz="6" w:space="0"/>
              <w:right w:val="single" w:color="auto" w:sz="6" w:space="0"/>
            </w:tcBorders>
            <w:vAlign w:val="center"/>
          </w:tcPr>
          <w:p w14:paraId="0CA5CD2B">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106" w:type="dxa"/>
            <w:gridSpan w:val="2"/>
            <w:tcBorders>
              <w:top w:val="single" w:color="auto" w:sz="6" w:space="0"/>
              <w:left w:val="single" w:color="auto" w:sz="6" w:space="0"/>
              <w:bottom w:val="single" w:color="auto" w:sz="6" w:space="0"/>
              <w:right w:val="single" w:color="auto" w:sz="6" w:space="0"/>
            </w:tcBorders>
            <w:vAlign w:val="center"/>
          </w:tcPr>
          <w:p w14:paraId="3C2467B7">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008" w:type="dxa"/>
            <w:gridSpan w:val="2"/>
            <w:tcBorders>
              <w:top w:val="single" w:color="auto" w:sz="6" w:space="0"/>
              <w:left w:val="single" w:color="auto" w:sz="6" w:space="0"/>
              <w:bottom w:val="single" w:color="auto" w:sz="6" w:space="0"/>
              <w:right w:val="single" w:color="auto" w:sz="6" w:space="0"/>
            </w:tcBorders>
            <w:vAlign w:val="center"/>
          </w:tcPr>
          <w:p w14:paraId="1C33D359">
            <w:pPr>
              <w:autoSpaceDE w:val="0"/>
              <w:autoSpaceDN w:val="0"/>
              <w:adjustRightInd w:val="0"/>
              <w:spacing w:line="400" w:lineRule="exact"/>
              <w:jc w:val="center"/>
              <w:rPr>
                <w:rFonts w:asciiTheme="minorEastAsia" w:hAnsiTheme="minorEastAsia" w:eastAsiaTheme="minorEastAsia" w:cstheme="minorEastAsia"/>
                <w:kern w:val="0"/>
                <w:highlight w:val="none"/>
              </w:rPr>
            </w:pPr>
          </w:p>
        </w:tc>
        <w:tc>
          <w:tcPr>
            <w:tcW w:w="2455" w:type="dxa"/>
            <w:gridSpan w:val="2"/>
            <w:tcBorders>
              <w:top w:val="single" w:color="auto" w:sz="6" w:space="0"/>
              <w:left w:val="single" w:color="auto" w:sz="6" w:space="0"/>
              <w:bottom w:val="single" w:color="auto" w:sz="6" w:space="0"/>
              <w:right w:val="single" w:color="auto" w:sz="6" w:space="0"/>
            </w:tcBorders>
            <w:vAlign w:val="center"/>
          </w:tcPr>
          <w:p w14:paraId="4F23BAE3">
            <w:pPr>
              <w:autoSpaceDE w:val="0"/>
              <w:autoSpaceDN w:val="0"/>
              <w:adjustRightInd w:val="0"/>
              <w:spacing w:line="400" w:lineRule="exact"/>
              <w:jc w:val="center"/>
              <w:rPr>
                <w:rFonts w:asciiTheme="minorEastAsia" w:hAnsiTheme="minorEastAsia" w:eastAsiaTheme="minorEastAsia" w:cstheme="minorEastAsia"/>
                <w:kern w:val="0"/>
                <w:highlight w:val="none"/>
              </w:rPr>
            </w:pPr>
          </w:p>
        </w:tc>
      </w:tr>
    </w:tbl>
    <w:p w14:paraId="3815E429">
      <w:pPr>
        <w:pStyle w:val="13"/>
        <w:rPr>
          <w:highlight w:val="none"/>
        </w:rPr>
      </w:pPr>
    </w:p>
    <w:p w14:paraId="381FD1AC">
      <w:pPr>
        <w:pStyle w:val="13"/>
        <w:rPr>
          <w:highlight w:val="none"/>
        </w:rPr>
      </w:pPr>
    </w:p>
    <w:p w14:paraId="464AFDEC">
      <w:pPr>
        <w:pStyle w:val="25"/>
        <w:spacing w:line="400" w:lineRule="exact"/>
        <w:rPr>
          <w:rFonts w:ascii="Times New Roman" w:hAnsi="Times New Roman" w:eastAsia="宋体" w:cs="Times New Roman"/>
          <w:highlight w:val="none"/>
        </w:rPr>
      </w:pPr>
      <w:r>
        <w:rPr>
          <w:rFonts w:ascii="Times New Roman" w:hAnsi="Times New Roman" w:eastAsia="宋体" w:cs="Times New Roman"/>
          <w:highlight w:val="none"/>
        </w:rPr>
        <w:t>注：1.在填写时，如本表格不适合</w:t>
      </w:r>
      <w:r>
        <w:rPr>
          <w:rFonts w:hint="eastAsia" w:ascii="Times New Roman" w:hAnsi="Times New Roman" w:eastAsia="宋体" w:cs="Times New Roman"/>
          <w:highlight w:val="none"/>
          <w:lang w:eastAsia="zh-CN"/>
        </w:rPr>
        <w:t>供应商</w:t>
      </w:r>
      <w:r>
        <w:rPr>
          <w:rFonts w:ascii="Times New Roman" w:hAnsi="Times New Roman" w:eastAsia="宋体" w:cs="Times New Roman"/>
          <w:highlight w:val="none"/>
        </w:rPr>
        <w:t>的实际情况，可根据本表格式自行划表填写。</w:t>
      </w:r>
    </w:p>
    <w:p w14:paraId="24E310A2">
      <w:pPr>
        <w:pStyle w:val="25"/>
        <w:spacing w:line="400" w:lineRule="exact"/>
        <w:ind w:firstLine="420" w:firstLineChars="200"/>
        <w:rPr>
          <w:rFonts w:ascii="Times New Roman" w:hAnsi="Times New Roman" w:eastAsia="宋体" w:cs="Times New Roman"/>
          <w:highlight w:val="none"/>
        </w:rPr>
      </w:pPr>
      <w:r>
        <w:rPr>
          <w:rFonts w:ascii="Times New Roman" w:hAnsi="Times New Roman" w:eastAsia="宋体" w:cs="Times New Roman"/>
          <w:highlight w:val="none"/>
        </w:rPr>
        <w:t>2.</w:t>
      </w:r>
      <w:r>
        <w:rPr>
          <w:rFonts w:ascii="Times New Roman" w:hAnsi="Times New Roman" w:eastAsia="宋体" w:cs="Times New Roman"/>
          <w:kern w:val="0"/>
          <w:highlight w:val="none"/>
        </w:rPr>
        <w:t>涉及实施团队</w:t>
      </w:r>
      <w:r>
        <w:rPr>
          <w:rFonts w:hint="eastAsia" w:ascii="Times New Roman" w:hAnsi="Times New Roman" w:eastAsia="宋体" w:cs="Times New Roman"/>
          <w:kern w:val="0"/>
          <w:highlight w:val="none"/>
          <w:lang w:eastAsia="zh-CN"/>
        </w:rPr>
        <w:t>、</w:t>
      </w:r>
      <w:r>
        <w:rPr>
          <w:rFonts w:ascii="Times New Roman" w:hAnsi="Times New Roman" w:eastAsia="宋体" w:cs="Times New Roman"/>
          <w:kern w:val="0"/>
          <w:highlight w:val="none"/>
        </w:rPr>
        <w:t>服务人员，须提供人员简历和技术认证证书复印件，作为实施团队能力和技术水平的参考（所提供的资质必须在有效期内，需明确注明是</w:t>
      </w:r>
      <w:r>
        <w:rPr>
          <w:rFonts w:hint="eastAsia" w:ascii="Times New Roman" w:hAnsi="Times New Roman" w:eastAsia="宋体" w:cs="Times New Roman"/>
          <w:kern w:val="0"/>
          <w:highlight w:val="none"/>
          <w:lang w:eastAsia="zh-CN"/>
        </w:rPr>
        <w:t>供应商</w:t>
      </w:r>
      <w:r>
        <w:rPr>
          <w:rFonts w:ascii="Times New Roman" w:hAnsi="Times New Roman" w:eastAsia="宋体" w:cs="Times New Roman"/>
          <w:kern w:val="0"/>
          <w:highlight w:val="none"/>
        </w:rPr>
        <w:t>员工，需提供员工劳动合同关键页或</w:t>
      </w:r>
      <w:r>
        <w:rPr>
          <w:rFonts w:hint="eastAsia" w:ascii="Times New Roman" w:hAnsi="Times New Roman" w:eastAsia="宋体" w:cs="Times New Roman"/>
          <w:kern w:val="0"/>
          <w:highlight w:val="none"/>
        </w:rPr>
        <w:t>由</w:t>
      </w:r>
      <w:r>
        <w:rPr>
          <w:rFonts w:hint="eastAsia" w:ascii="Times New Roman" w:hAnsi="Times New Roman" w:eastAsia="宋体" w:cs="Times New Roman"/>
          <w:kern w:val="0"/>
          <w:highlight w:val="none"/>
          <w:lang w:eastAsia="zh-CN"/>
        </w:rPr>
        <w:t>供应商</w:t>
      </w:r>
      <w:r>
        <w:rPr>
          <w:rFonts w:hint="eastAsia" w:ascii="宋体" w:hAnsi="宋体" w:eastAsia="宋体" w:cs="宋体"/>
          <w:highlight w:val="none"/>
          <w:lang w:val="en-US"/>
        </w:rPr>
        <w:t>在</w:t>
      </w:r>
      <w:r>
        <w:rPr>
          <w:rFonts w:hint="eastAsia" w:ascii="宋体" w:hAnsi="宋体" w:eastAsia="宋体" w:cs="宋体"/>
          <w:highlight w:val="none"/>
        </w:rPr>
        <w:t>截</w:t>
      </w:r>
      <w:r>
        <w:rPr>
          <w:rFonts w:hint="eastAsia" w:ascii="宋体" w:hAnsi="宋体" w:eastAsia="宋体" w:cs="宋体"/>
          <w:highlight w:val="none"/>
          <w:lang w:val="en-US"/>
        </w:rPr>
        <w:t>标时间</w:t>
      </w:r>
      <w:r>
        <w:rPr>
          <w:rFonts w:hint="eastAsia" w:ascii="宋体" w:hAnsi="宋体" w:eastAsia="宋体" w:cs="宋体"/>
          <w:highlight w:val="none"/>
        </w:rPr>
        <w:t>前</w:t>
      </w:r>
      <w:r>
        <w:rPr>
          <w:rFonts w:hint="eastAsia" w:ascii="宋体" w:hAnsi="宋体" w:eastAsia="宋体" w:cs="宋体"/>
          <w:highlight w:val="none"/>
          <w:lang w:val="en-US"/>
        </w:rPr>
        <w:t>连续</w:t>
      </w:r>
      <w:r>
        <w:rPr>
          <w:rFonts w:hint="eastAsia" w:ascii="宋体" w:hAnsi="宋体" w:eastAsia="宋体" w:cs="宋体"/>
          <w:highlight w:val="none"/>
          <w:lang w:val="en-US" w:eastAsia="zh-CN"/>
        </w:rPr>
        <w:t>6</w:t>
      </w:r>
      <w:r>
        <w:rPr>
          <w:rFonts w:hint="eastAsia" w:ascii="宋体" w:hAnsi="宋体" w:eastAsia="宋体" w:cs="宋体"/>
          <w:highlight w:val="none"/>
        </w:rPr>
        <w:t>个月</w:t>
      </w:r>
      <w:r>
        <w:rPr>
          <w:rFonts w:hint="eastAsia" w:ascii="宋体" w:hAnsi="宋体" w:eastAsia="宋体" w:cs="宋体"/>
          <w:highlight w:val="none"/>
          <w:lang w:val="en-US" w:eastAsia="zh-CN"/>
        </w:rPr>
        <w:t>内任意1个月</w:t>
      </w:r>
      <w:r>
        <w:rPr>
          <w:rFonts w:hint="eastAsia" w:ascii="宋体" w:hAnsi="宋体" w:eastAsia="宋体" w:cs="宋体"/>
          <w:sz w:val="21"/>
          <w:szCs w:val="21"/>
          <w:highlight w:val="none"/>
        </w:rPr>
        <w:t>（不含截标当月）</w:t>
      </w:r>
      <w:r>
        <w:rPr>
          <w:rFonts w:hint="eastAsia" w:ascii="宋体" w:hAnsi="宋体" w:eastAsia="宋体" w:cs="宋体"/>
          <w:highlight w:val="none"/>
          <w:lang w:val="en-US"/>
        </w:rPr>
        <w:t>为其</w:t>
      </w:r>
      <w:r>
        <w:rPr>
          <w:rFonts w:hint="eastAsia" w:ascii="宋体" w:hAnsi="宋体" w:eastAsia="宋体" w:cs="宋体"/>
          <w:highlight w:val="none"/>
        </w:rPr>
        <w:t>缴纳的社保</w:t>
      </w:r>
      <w:r>
        <w:rPr>
          <w:rFonts w:hint="eastAsia" w:ascii="宋体" w:hAnsi="宋体" w:eastAsia="宋体" w:cs="宋体"/>
          <w:highlight w:val="none"/>
          <w:lang w:val="en-US"/>
        </w:rPr>
        <w:t>证明材料</w:t>
      </w:r>
      <w:r>
        <w:rPr>
          <w:rFonts w:hint="eastAsia" w:ascii="宋体" w:hAnsi="宋体" w:eastAsia="宋体" w:cs="宋体"/>
          <w:highlight w:val="none"/>
          <w:lang w:val="en-US" w:eastAsia="zh-CN"/>
        </w:rPr>
        <w:t>复印件</w:t>
      </w:r>
      <w:r>
        <w:rPr>
          <w:rFonts w:hint="eastAsia" w:ascii="宋体" w:hAnsi="宋体" w:eastAsia="宋体" w:cs="宋体"/>
          <w:sz w:val="21"/>
          <w:szCs w:val="21"/>
          <w:highlight w:val="none"/>
          <w:lang w:val="en-US"/>
        </w:rPr>
        <w:t>或劳动合同</w:t>
      </w:r>
      <w:r>
        <w:rPr>
          <w:rFonts w:hint="eastAsia" w:ascii="宋体" w:hAnsi="宋体" w:eastAsia="宋体" w:cs="宋体"/>
          <w:sz w:val="21"/>
          <w:szCs w:val="21"/>
          <w:highlight w:val="none"/>
          <w:lang w:val="en-US" w:eastAsia="zh-CN"/>
        </w:rPr>
        <w:t>复印件</w:t>
      </w:r>
      <w:r>
        <w:rPr>
          <w:rFonts w:ascii="Times New Roman" w:hAnsi="Times New Roman" w:eastAsia="宋体" w:cs="Times New Roman"/>
          <w:kern w:val="0"/>
          <w:highlight w:val="none"/>
        </w:rPr>
        <w:t>并加盖公章）</w:t>
      </w:r>
      <w:r>
        <w:rPr>
          <w:rFonts w:ascii="Times New Roman" w:hAnsi="Times New Roman" w:eastAsia="宋体" w:cs="Times New Roman"/>
          <w:highlight w:val="none"/>
        </w:rPr>
        <w:t>。</w:t>
      </w:r>
    </w:p>
    <w:p w14:paraId="4F00EA81">
      <w:pPr>
        <w:spacing w:line="400" w:lineRule="exact"/>
        <w:rPr>
          <w:highlight w:val="none"/>
        </w:rPr>
      </w:pPr>
    </w:p>
    <w:p w14:paraId="430682C0">
      <w:pPr>
        <w:spacing w:line="400" w:lineRule="exact"/>
        <w:rPr>
          <w:highlight w:val="none"/>
        </w:rPr>
      </w:pPr>
      <w:r>
        <w:rPr>
          <w:rFonts w:hint="eastAsia"/>
          <w:highlight w:val="none"/>
          <w:lang w:eastAsia="zh-CN"/>
        </w:rPr>
        <w:t>供应商</w:t>
      </w:r>
      <w:r>
        <w:rPr>
          <w:highlight w:val="none"/>
        </w:rPr>
        <w:t>（公章）</w:t>
      </w:r>
      <w:r>
        <w:rPr>
          <w:rFonts w:hint="eastAsia"/>
          <w:highlight w:val="none"/>
        </w:rPr>
        <w:t>：</w:t>
      </w:r>
    </w:p>
    <w:p w14:paraId="4BB2CE80">
      <w:pPr>
        <w:spacing w:line="400" w:lineRule="exact"/>
        <w:rPr>
          <w:highlight w:val="none"/>
          <w:u w:val="single"/>
        </w:rPr>
      </w:pPr>
      <w:r>
        <w:rPr>
          <w:highlight w:val="none"/>
        </w:rPr>
        <w:t>法定代表人或委托代理人</w:t>
      </w:r>
      <w:r>
        <w:rPr>
          <w:rFonts w:hint="eastAsia"/>
          <w:highlight w:val="none"/>
        </w:rPr>
        <w:t>（</w:t>
      </w:r>
      <w:r>
        <w:rPr>
          <w:highlight w:val="none"/>
        </w:rPr>
        <w:t>签字或签章）</w:t>
      </w:r>
      <w:r>
        <w:rPr>
          <w:rFonts w:hint="eastAsia"/>
          <w:highlight w:val="none"/>
        </w:rPr>
        <w:t>：</w:t>
      </w:r>
    </w:p>
    <w:p w14:paraId="62B7DCF4">
      <w:pPr>
        <w:pStyle w:val="15"/>
        <w:spacing w:line="400" w:lineRule="exact"/>
        <w:ind w:firstLine="0"/>
        <w:rPr>
          <w:highlight w:val="none"/>
        </w:rPr>
      </w:pPr>
      <w:r>
        <w:rPr>
          <w:highlight w:val="none"/>
        </w:rPr>
        <w:t>日期</w:t>
      </w:r>
      <w:r>
        <w:rPr>
          <w:rFonts w:hint="eastAsia"/>
          <w:highlight w:val="none"/>
        </w:rPr>
        <w:t>：</w:t>
      </w:r>
    </w:p>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14:paraId="0AF9192A">
      <w:pPr>
        <w:rPr>
          <w:b/>
          <w:highlight w:val="none"/>
        </w:rPr>
      </w:pPr>
      <w:r>
        <w:rPr>
          <w:b/>
          <w:highlight w:val="none"/>
        </w:rPr>
        <w:br w:type="page"/>
      </w:r>
      <w:r>
        <w:rPr>
          <w:rFonts w:hint="eastAsia"/>
          <w:b/>
          <w:highlight w:val="none"/>
          <w:lang w:val="en-US" w:eastAsia="zh-CN"/>
        </w:rPr>
        <w:t>9.</w:t>
      </w:r>
      <w:r>
        <w:rPr>
          <w:rFonts w:hint="eastAsia"/>
          <w:b/>
          <w:highlight w:val="none"/>
          <w:lang w:eastAsia="zh-CN"/>
        </w:rPr>
        <w:t>供应商</w:t>
      </w:r>
      <w:r>
        <w:rPr>
          <w:b/>
          <w:highlight w:val="none"/>
        </w:rPr>
        <w:t>退还履约保证金模板（磋商时无需提供，退款时提供，由需求部门递交至集采办进行相应退款）</w:t>
      </w:r>
    </w:p>
    <w:p w14:paraId="607A350E">
      <w:pPr>
        <w:spacing w:line="640" w:lineRule="exact"/>
        <w:jc w:val="center"/>
        <w:rPr>
          <w:rFonts w:eastAsia="小标宋"/>
          <w:bCs/>
          <w:sz w:val="44"/>
          <w:szCs w:val="44"/>
          <w:highlight w:val="none"/>
        </w:rPr>
      </w:pPr>
      <w:r>
        <w:rPr>
          <w:rFonts w:eastAsia="小标宋"/>
          <w:bCs/>
          <w:sz w:val="44"/>
          <w:szCs w:val="44"/>
          <w:highlight w:val="none"/>
        </w:rPr>
        <w:t>退款申请</w:t>
      </w:r>
    </w:p>
    <w:p w14:paraId="07782C85">
      <w:pPr>
        <w:spacing w:line="586" w:lineRule="exact"/>
        <w:ind w:firstLine="640" w:firstLineChars="200"/>
        <w:jc w:val="center"/>
        <w:rPr>
          <w:rFonts w:eastAsia="仿宋_GB2312"/>
          <w:sz w:val="32"/>
          <w:szCs w:val="32"/>
          <w:highlight w:val="none"/>
        </w:rPr>
      </w:pPr>
    </w:p>
    <w:p w14:paraId="0347C95C">
      <w:pPr>
        <w:spacing w:line="586" w:lineRule="exact"/>
        <w:rPr>
          <w:rFonts w:eastAsia="仿宋_GB2312"/>
          <w:sz w:val="32"/>
          <w:szCs w:val="32"/>
          <w:highlight w:val="none"/>
        </w:rPr>
      </w:pPr>
      <w:r>
        <w:rPr>
          <w:rFonts w:eastAsia="仿宋_GB2312"/>
          <w:sz w:val="32"/>
          <w:szCs w:val="32"/>
          <w:highlight w:val="none"/>
        </w:rPr>
        <w:t>桂林银行股份有限公司：</w:t>
      </w:r>
    </w:p>
    <w:p w14:paraId="5DCC065F">
      <w:pPr>
        <w:spacing w:line="586" w:lineRule="exact"/>
        <w:ind w:firstLine="640" w:firstLineChars="200"/>
        <w:rPr>
          <w:rFonts w:eastAsia="仿宋_GB2312"/>
          <w:sz w:val="32"/>
          <w:szCs w:val="32"/>
          <w:highlight w:val="none"/>
        </w:rPr>
      </w:pPr>
      <w:r>
        <w:rPr>
          <w:rFonts w:eastAsia="仿宋_GB2312"/>
          <w:sz w:val="32"/>
          <w:szCs w:val="32"/>
          <w:highlight w:val="none"/>
        </w:rPr>
        <w:t>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w:t>
      </w:r>
      <w:r>
        <w:rPr>
          <w:rFonts w:eastAsia="仿宋_GB2312"/>
          <w:sz w:val="32"/>
          <w:szCs w:val="32"/>
          <w:highlight w:val="none"/>
        </w:rPr>
        <w:t>于202</w:t>
      </w:r>
      <w:r>
        <w:rPr>
          <w:rFonts w:hint="eastAsia" w:eastAsia="仿宋_GB2312"/>
          <w:sz w:val="32"/>
          <w:szCs w:val="32"/>
          <w:highlight w:val="none"/>
          <w:lang w:val="en-US" w:eastAsia="zh-CN"/>
        </w:rPr>
        <w:t>5</w:t>
      </w:r>
      <w:r>
        <w:rPr>
          <w:rFonts w:eastAsia="仿宋_GB2312"/>
          <w:sz w:val="32"/>
          <w:szCs w:val="32"/>
          <w:highlight w:val="none"/>
        </w:rPr>
        <w:t>年</w:t>
      </w:r>
      <w:r>
        <w:rPr>
          <w:rFonts w:hint="eastAsia" w:eastAsia="仿宋_GB2312"/>
          <w:sz w:val="32"/>
          <w:szCs w:val="32"/>
          <w:highlight w:val="none"/>
          <w:lang w:val="en-US" w:eastAsia="zh-CN"/>
        </w:rPr>
        <w:t>12</w:t>
      </w:r>
      <w:r>
        <w:rPr>
          <w:rFonts w:eastAsia="仿宋_GB2312"/>
          <w:sz w:val="32"/>
          <w:szCs w:val="32"/>
          <w:highlight w:val="none"/>
        </w:rPr>
        <w:t>月</w:t>
      </w:r>
      <w:r>
        <w:rPr>
          <w:rFonts w:hint="eastAsia" w:eastAsia="仿宋_GB2312"/>
          <w:sz w:val="32"/>
          <w:szCs w:val="32"/>
          <w:highlight w:val="none"/>
          <w:lang w:val="en-US" w:eastAsia="zh-CN"/>
        </w:rPr>
        <w:t>29</w:t>
      </w:r>
      <w:r>
        <w:rPr>
          <w:rFonts w:eastAsia="仿宋_GB2312"/>
          <w:sz w:val="32"/>
          <w:szCs w:val="32"/>
          <w:highlight w:val="none"/>
        </w:rPr>
        <w:t>日参加贵行</w:t>
      </w:r>
      <w:r>
        <w:rPr>
          <w:rFonts w:hint="eastAsia" w:eastAsia="仿宋_GB2312"/>
          <w:sz w:val="32"/>
          <w:szCs w:val="32"/>
          <w:highlight w:val="none"/>
        </w:rPr>
        <w:t>采购洗钱风险自评估咨询项目</w:t>
      </w:r>
      <w:r>
        <w:rPr>
          <w:rFonts w:eastAsia="仿宋_GB2312"/>
          <w:sz w:val="32"/>
          <w:szCs w:val="32"/>
          <w:highlight w:val="none"/>
        </w:rPr>
        <w:t>（编号：</w:t>
      </w:r>
      <w:r>
        <w:rPr>
          <w:rFonts w:hint="eastAsia" w:eastAsia="仿宋_GB2312"/>
          <w:sz w:val="32"/>
          <w:szCs w:val="32"/>
          <w:highlight w:val="none"/>
        </w:rPr>
        <w:t>GYJC202</w:t>
      </w:r>
      <w:r>
        <w:rPr>
          <w:rFonts w:hint="eastAsia" w:eastAsia="仿宋_GB2312"/>
          <w:sz w:val="32"/>
          <w:szCs w:val="32"/>
          <w:highlight w:val="none"/>
          <w:lang w:val="en-US" w:eastAsia="zh-CN"/>
        </w:rPr>
        <w:t>5155</w:t>
      </w:r>
      <w:r>
        <w:rPr>
          <w:rFonts w:eastAsia="仿宋_GB2312"/>
          <w:sz w:val="32"/>
          <w:szCs w:val="32"/>
          <w:highlight w:val="none"/>
        </w:rPr>
        <w:t>）磋商，该项目由我公司</w:t>
      </w:r>
      <w:r>
        <w:rPr>
          <w:rFonts w:hint="eastAsia" w:eastAsia="仿宋_GB2312"/>
          <w:sz w:val="32"/>
          <w:szCs w:val="32"/>
          <w:highlight w:val="none"/>
        </w:rPr>
        <w:t>（单位）</w:t>
      </w:r>
      <w:r>
        <w:rPr>
          <w:rFonts w:hint="eastAsia" w:eastAsia="仿宋_GB2312"/>
          <w:sz w:val="32"/>
          <w:szCs w:val="32"/>
          <w:highlight w:val="none"/>
          <w:lang w:val="en-US" w:eastAsia="zh-CN"/>
        </w:rPr>
        <w:t>成交</w:t>
      </w:r>
      <w:r>
        <w:rPr>
          <w:rFonts w:eastAsia="仿宋_GB2312"/>
          <w:sz w:val="32"/>
          <w:szCs w:val="32"/>
          <w:highlight w:val="none"/>
        </w:rPr>
        <w:t>，现合同已履行完毕，申请退回我</w:t>
      </w:r>
      <w:r>
        <w:rPr>
          <w:rFonts w:hint="eastAsia" w:eastAsia="仿宋_GB2312"/>
          <w:sz w:val="32"/>
          <w:szCs w:val="32"/>
          <w:highlight w:val="none"/>
        </w:rPr>
        <w:t>公</w:t>
      </w:r>
      <w:r>
        <w:rPr>
          <w:rFonts w:eastAsia="仿宋_GB2312"/>
          <w:sz w:val="32"/>
          <w:szCs w:val="32"/>
          <w:highlight w:val="none"/>
        </w:rPr>
        <w:t>司</w:t>
      </w:r>
      <w:r>
        <w:rPr>
          <w:rFonts w:hint="eastAsia" w:eastAsia="仿宋_GB2312"/>
          <w:sz w:val="32"/>
          <w:szCs w:val="32"/>
          <w:highlight w:val="none"/>
        </w:rPr>
        <w:t>（单位）履约</w:t>
      </w:r>
      <w:r>
        <w:rPr>
          <w:rFonts w:eastAsia="仿宋_GB2312"/>
          <w:sz w:val="32"/>
          <w:szCs w:val="32"/>
          <w:highlight w:val="none"/>
        </w:rPr>
        <w:t>保证金。</w:t>
      </w:r>
    </w:p>
    <w:p w14:paraId="7B324B9B">
      <w:pPr>
        <w:spacing w:line="586" w:lineRule="exact"/>
        <w:ind w:firstLine="640" w:firstLineChars="200"/>
        <w:rPr>
          <w:rFonts w:eastAsia="仿宋_GB2312"/>
          <w:sz w:val="32"/>
          <w:szCs w:val="32"/>
          <w:highlight w:val="none"/>
        </w:rPr>
      </w:pPr>
      <w:r>
        <w:rPr>
          <w:rFonts w:eastAsia="仿宋_GB2312"/>
          <w:sz w:val="32"/>
          <w:szCs w:val="32"/>
          <w:highlight w:val="none"/>
        </w:rPr>
        <w:t>开户名：</w:t>
      </w:r>
      <w:r>
        <w:rPr>
          <w:rFonts w:hint="eastAsia" w:eastAsia="仿宋_GB2312"/>
          <w:sz w:val="32"/>
          <w:szCs w:val="32"/>
          <w:highlight w:val="none"/>
        </w:rPr>
        <w:t>XXXX</w:t>
      </w:r>
      <w:r>
        <w:rPr>
          <w:rFonts w:eastAsia="仿宋_GB2312"/>
          <w:sz w:val="32"/>
          <w:szCs w:val="32"/>
          <w:highlight w:val="none"/>
        </w:rPr>
        <w:t>有限公司</w:t>
      </w:r>
    </w:p>
    <w:p w14:paraId="7CE6376E">
      <w:pPr>
        <w:spacing w:line="586" w:lineRule="exact"/>
        <w:ind w:firstLine="640" w:firstLineChars="200"/>
        <w:rPr>
          <w:rFonts w:eastAsia="仿宋_GB2312"/>
          <w:sz w:val="32"/>
          <w:szCs w:val="32"/>
          <w:highlight w:val="none"/>
        </w:rPr>
      </w:pPr>
      <w:r>
        <w:rPr>
          <w:rFonts w:eastAsia="仿宋_GB2312"/>
          <w:sz w:val="32"/>
          <w:szCs w:val="32"/>
          <w:highlight w:val="none"/>
        </w:rPr>
        <w:t>开户银行：</w:t>
      </w:r>
      <w:r>
        <w:rPr>
          <w:rFonts w:hint="eastAsia" w:eastAsia="仿宋_GB2312"/>
          <w:sz w:val="32"/>
          <w:szCs w:val="32"/>
          <w:highlight w:val="none"/>
        </w:rPr>
        <w:t>XXXX</w:t>
      </w:r>
      <w:r>
        <w:rPr>
          <w:rFonts w:eastAsia="仿宋_GB2312"/>
          <w:sz w:val="32"/>
          <w:szCs w:val="32"/>
          <w:highlight w:val="none"/>
        </w:rPr>
        <w:t>支行</w:t>
      </w:r>
    </w:p>
    <w:p w14:paraId="04C56223">
      <w:pPr>
        <w:spacing w:line="586" w:lineRule="exact"/>
        <w:ind w:firstLine="640" w:firstLineChars="200"/>
        <w:rPr>
          <w:rFonts w:eastAsia="仿宋_GB2312"/>
          <w:sz w:val="32"/>
          <w:szCs w:val="32"/>
          <w:highlight w:val="none"/>
        </w:rPr>
      </w:pPr>
      <w:r>
        <w:rPr>
          <w:rFonts w:eastAsia="仿宋_GB2312"/>
          <w:sz w:val="32"/>
          <w:szCs w:val="32"/>
          <w:highlight w:val="none"/>
        </w:rPr>
        <w:t>银行帐号：</w:t>
      </w:r>
      <w:r>
        <w:rPr>
          <w:rFonts w:hint="eastAsia" w:eastAsia="仿宋_GB2312"/>
          <w:sz w:val="32"/>
          <w:szCs w:val="32"/>
          <w:highlight w:val="none"/>
        </w:rPr>
        <w:t>XXXX</w:t>
      </w:r>
    </w:p>
    <w:p w14:paraId="0895ABDC">
      <w:pPr>
        <w:spacing w:line="586" w:lineRule="exact"/>
        <w:ind w:firstLine="640" w:firstLineChars="200"/>
        <w:rPr>
          <w:rFonts w:eastAsia="仿宋_GB2312"/>
          <w:sz w:val="32"/>
          <w:szCs w:val="32"/>
          <w:highlight w:val="none"/>
        </w:rPr>
      </w:pPr>
      <w:r>
        <w:rPr>
          <w:rFonts w:eastAsia="仿宋_GB2312"/>
          <w:sz w:val="32"/>
          <w:szCs w:val="32"/>
          <w:highlight w:val="none"/>
        </w:rPr>
        <w:t>保证金金额：</w:t>
      </w:r>
      <w:r>
        <w:rPr>
          <w:rFonts w:hint="eastAsia" w:eastAsia="仿宋_GB2312"/>
          <w:sz w:val="32"/>
          <w:szCs w:val="32"/>
          <w:highlight w:val="none"/>
        </w:rPr>
        <w:t>XXXX</w:t>
      </w:r>
      <w:r>
        <w:rPr>
          <w:rFonts w:eastAsia="仿宋_GB2312"/>
          <w:sz w:val="32"/>
          <w:szCs w:val="32"/>
          <w:highlight w:val="none"/>
        </w:rPr>
        <w:t>元整（</w:t>
      </w:r>
      <w:r>
        <w:rPr>
          <w:rFonts w:ascii="Arial" w:hAnsi="Arial" w:eastAsia="仿宋_GB2312" w:cs="Arial"/>
          <w:sz w:val="32"/>
          <w:szCs w:val="32"/>
          <w:highlight w:val="none"/>
        </w:rPr>
        <w:t>¥</w:t>
      </w:r>
      <w:r>
        <w:rPr>
          <w:rFonts w:hint="eastAsia" w:eastAsia="仿宋_GB2312"/>
          <w:sz w:val="32"/>
          <w:szCs w:val="32"/>
          <w:highlight w:val="none"/>
        </w:rPr>
        <w:t>XX.00</w:t>
      </w:r>
      <w:r>
        <w:rPr>
          <w:rFonts w:eastAsia="仿宋_GB2312"/>
          <w:sz w:val="32"/>
          <w:szCs w:val="32"/>
          <w:highlight w:val="none"/>
        </w:rPr>
        <w:t>）</w:t>
      </w:r>
    </w:p>
    <w:p w14:paraId="157CACE0">
      <w:pPr>
        <w:spacing w:line="586" w:lineRule="exact"/>
        <w:ind w:firstLine="640" w:firstLineChars="200"/>
        <w:rPr>
          <w:rFonts w:eastAsia="仿宋_GB2312"/>
          <w:sz w:val="32"/>
          <w:szCs w:val="32"/>
          <w:highlight w:val="none"/>
        </w:rPr>
      </w:pPr>
      <w:r>
        <w:rPr>
          <w:rFonts w:eastAsia="仿宋_GB2312"/>
          <w:sz w:val="32"/>
          <w:szCs w:val="32"/>
          <w:highlight w:val="none"/>
        </w:rPr>
        <w:t>纳税人识别号：</w:t>
      </w:r>
    </w:p>
    <w:p w14:paraId="02085531">
      <w:pPr>
        <w:spacing w:line="586" w:lineRule="exact"/>
        <w:ind w:firstLine="640" w:firstLineChars="200"/>
        <w:rPr>
          <w:rFonts w:eastAsia="仿宋_GB2312"/>
          <w:sz w:val="32"/>
          <w:szCs w:val="32"/>
          <w:highlight w:val="none"/>
        </w:rPr>
      </w:pPr>
    </w:p>
    <w:p w14:paraId="435E83F5">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w:t>
      </w:r>
      <w:r>
        <w:rPr>
          <w:rFonts w:hint="eastAsia" w:eastAsia="仿宋_GB2312"/>
          <w:sz w:val="32"/>
          <w:szCs w:val="32"/>
          <w:highlight w:val="none"/>
        </w:rPr>
        <w:t>XXXX</w:t>
      </w:r>
      <w:r>
        <w:rPr>
          <w:rFonts w:eastAsia="仿宋_GB2312"/>
          <w:sz w:val="32"/>
          <w:szCs w:val="32"/>
          <w:highlight w:val="none"/>
        </w:rPr>
        <w:t>公司</w:t>
      </w:r>
      <w:r>
        <w:rPr>
          <w:rFonts w:hint="eastAsia" w:eastAsia="仿宋_GB2312"/>
          <w:sz w:val="32"/>
          <w:szCs w:val="32"/>
          <w:highlight w:val="none"/>
        </w:rPr>
        <w:t xml:space="preserve">（公章）  </w:t>
      </w:r>
    </w:p>
    <w:p w14:paraId="5175EF39">
      <w:pPr>
        <w:wordWrap w:val="0"/>
        <w:spacing w:line="586" w:lineRule="exact"/>
        <w:ind w:firstLine="640" w:firstLineChars="200"/>
        <w:jc w:val="right"/>
        <w:rPr>
          <w:rFonts w:eastAsia="仿宋_GB2312"/>
          <w:sz w:val="32"/>
          <w:szCs w:val="32"/>
          <w:highlight w:val="none"/>
        </w:rPr>
      </w:pPr>
      <w:r>
        <w:rPr>
          <w:rFonts w:eastAsia="仿宋_GB2312"/>
          <w:sz w:val="32"/>
          <w:szCs w:val="32"/>
          <w:highlight w:val="none"/>
        </w:rPr>
        <w:t xml:space="preserve"> 202</w:t>
      </w:r>
      <w:r>
        <w:rPr>
          <w:rFonts w:hint="eastAsia" w:eastAsia="仿宋_GB2312"/>
          <w:sz w:val="32"/>
          <w:szCs w:val="32"/>
          <w:highlight w:val="none"/>
        </w:rPr>
        <w:t>X</w:t>
      </w:r>
      <w:r>
        <w:rPr>
          <w:rFonts w:eastAsia="仿宋_GB2312"/>
          <w:sz w:val="32"/>
          <w:szCs w:val="32"/>
          <w:highlight w:val="none"/>
        </w:rPr>
        <w:t>年</w:t>
      </w:r>
      <w:r>
        <w:rPr>
          <w:rFonts w:hint="eastAsia" w:eastAsia="仿宋_GB2312"/>
          <w:sz w:val="32"/>
          <w:szCs w:val="32"/>
          <w:highlight w:val="none"/>
        </w:rPr>
        <w:t>XX</w:t>
      </w:r>
      <w:r>
        <w:rPr>
          <w:rFonts w:eastAsia="仿宋_GB2312"/>
          <w:sz w:val="32"/>
          <w:szCs w:val="32"/>
          <w:highlight w:val="none"/>
        </w:rPr>
        <w:t>月</w:t>
      </w:r>
      <w:r>
        <w:rPr>
          <w:rFonts w:hint="eastAsia" w:eastAsia="仿宋_GB2312"/>
          <w:sz w:val="32"/>
          <w:szCs w:val="32"/>
          <w:highlight w:val="none"/>
        </w:rPr>
        <w:t>XX</w:t>
      </w:r>
      <w:r>
        <w:rPr>
          <w:rFonts w:eastAsia="仿宋_GB2312"/>
          <w:sz w:val="32"/>
          <w:szCs w:val="32"/>
          <w:highlight w:val="none"/>
        </w:rPr>
        <w:t>日</w:t>
      </w:r>
      <w:r>
        <w:rPr>
          <w:rFonts w:hint="eastAsia" w:eastAsia="仿宋_GB2312"/>
          <w:sz w:val="32"/>
          <w:szCs w:val="32"/>
          <w:highlight w:val="none"/>
        </w:rPr>
        <w:t xml:space="preserve">    </w:t>
      </w:r>
    </w:p>
    <w:p w14:paraId="48872407">
      <w:pPr>
        <w:spacing w:line="586" w:lineRule="exact"/>
        <w:ind w:firstLine="640" w:firstLineChars="200"/>
        <w:rPr>
          <w:rFonts w:eastAsia="仿宋_GB2312"/>
          <w:sz w:val="32"/>
          <w:szCs w:val="32"/>
          <w:highlight w:val="none"/>
        </w:rPr>
      </w:pPr>
    </w:p>
    <w:p w14:paraId="51A3E193">
      <w:pPr>
        <w:spacing w:line="586" w:lineRule="exact"/>
        <w:ind w:firstLine="420" w:firstLineChars="200"/>
        <w:rPr>
          <w:rFonts w:eastAsia="仿宋_GB2312"/>
          <w:highlight w:val="none"/>
        </w:rPr>
      </w:pPr>
      <w:r>
        <w:rPr>
          <w:rFonts w:eastAsia="仿宋_GB2312"/>
          <w:highlight w:val="none"/>
        </w:rPr>
        <w:t>附件：退款申请、合同</w:t>
      </w:r>
      <w:r>
        <w:rPr>
          <w:rFonts w:hint="eastAsia" w:eastAsia="仿宋_GB2312"/>
          <w:highlight w:val="none"/>
        </w:rPr>
        <w:t>扫描件</w:t>
      </w:r>
      <w:r>
        <w:rPr>
          <w:rFonts w:eastAsia="仿宋_GB2312"/>
          <w:highlight w:val="none"/>
        </w:rPr>
        <w:t>、验收报告</w:t>
      </w:r>
      <w:r>
        <w:rPr>
          <w:rFonts w:hint="eastAsia" w:eastAsia="仿宋_GB2312"/>
          <w:highlight w:val="none"/>
        </w:rPr>
        <w:t>扫描件</w:t>
      </w:r>
      <w:r>
        <w:rPr>
          <w:rFonts w:eastAsia="仿宋_GB2312"/>
          <w:highlight w:val="none"/>
        </w:rPr>
        <w:t>、履约评价</w:t>
      </w:r>
      <w:r>
        <w:rPr>
          <w:rFonts w:hint="eastAsia" w:eastAsia="仿宋_GB2312"/>
          <w:highlight w:val="none"/>
        </w:rPr>
        <w:t>扫描件</w:t>
      </w:r>
      <w:r>
        <w:rPr>
          <w:rFonts w:eastAsia="仿宋_GB2312"/>
          <w:highlight w:val="none"/>
        </w:rPr>
        <w:t>、保证金汇款凭证</w:t>
      </w:r>
      <w:r>
        <w:rPr>
          <w:rFonts w:hint="eastAsia" w:eastAsia="仿宋_GB2312"/>
          <w:highlight w:val="none"/>
        </w:rPr>
        <w:t>扫描件</w:t>
      </w:r>
    </w:p>
    <w:p w14:paraId="394D86C7">
      <w:pPr>
        <w:pStyle w:val="50"/>
        <w:rPr>
          <w:rFonts w:eastAsia="仿宋_GB2312"/>
          <w:highlight w:val="none"/>
        </w:rPr>
      </w:pPr>
    </w:p>
    <w:p w14:paraId="09F1F43B">
      <w:pPr>
        <w:pStyle w:val="50"/>
        <w:rPr>
          <w:rFonts w:eastAsia="仿宋_GB2312"/>
          <w:highlight w:val="none"/>
        </w:rPr>
      </w:pPr>
      <w:r>
        <w:rPr>
          <w:rFonts w:hint="eastAsia" w:eastAsia="仿宋_GB2312"/>
          <w:b/>
          <w:bCs w:val="0"/>
          <w:spacing w:val="0"/>
          <w:highlight w:val="none"/>
        </w:rPr>
        <w:t>注：</w:t>
      </w:r>
      <w:r>
        <w:rPr>
          <w:rFonts w:hint="eastAsia" w:eastAsia="仿宋_GB2312"/>
          <w:spacing w:val="0"/>
          <w:highlight w:val="none"/>
        </w:rPr>
        <w:t>该退款申请按照合同约定退款时间时提供，</w:t>
      </w:r>
      <w:r>
        <w:rPr>
          <w:rFonts w:hint="eastAsia" w:eastAsia="仿宋_GB2312"/>
          <w:spacing w:val="0"/>
          <w:highlight w:val="none"/>
          <w:lang w:eastAsia="zh-CN"/>
        </w:rPr>
        <w:t>竞标</w:t>
      </w:r>
      <w:r>
        <w:rPr>
          <w:rFonts w:hint="eastAsia" w:eastAsia="仿宋_GB2312"/>
          <w:spacing w:val="0"/>
          <w:highlight w:val="none"/>
        </w:rPr>
        <w:t>时无须提供。</w:t>
      </w:r>
    </w:p>
    <w:p w14:paraId="32DAF104">
      <w:pPr>
        <w:pStyle w:val="2"/>
        <w:spacing w:line="586" w:lineRule="exact"/>
        <w:ind w:firstLine="640" w:firstLineChars="200"/>
        <w:rPr>
          <w:rFonts w:eastAsia="仿宋_GB2312"/>
          <w:sz w:val="32"/>
          <w:szCs w:val="32"/>
          <w:highlight w:val="none"/>
        </w:rPr>
      </w:pPr>
    </w:p>
    <w:p w14:paraId="73808E07">
      <w:pPr>
        <w:pStyle w:val="2"/>
        <w:spacing w:line="586" w:lineRule="exact"/>
        <w:ind w:firstLine="640" w:firstLineChars="200"/>
        <w:rPr>
          <w:rFonts w:eastAsia="仿宋_GB2312"/>
          <w:sz w:val="32"/>
          <w:szCs w:val="32"/>
          <w:highlight w:val="none"/>
        </w:rPr>
      </w:pPr>
    </w:p>
    <w:p w14:paraId="07B4D46C">
      <w:pPr>
        <w:pStyle w:val="25"/>
        <w:autoSpaceDE w:val="0"/>
        <w:spacing w:line="400" w:lineRule="exact"/>
        <w:ind w:firstLine="420" w:firstLineChars="200"/>
        <w:rPr>
          <w:rFonts w:ascii="Times New Roman" w:hAnsi="Times New Roman" w:eastAsia="宋体" w:cs="Times New Roman"/>
          <w:highlight w:val="none"/>
        </w:rPr>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pPr>
    </w:p>
    <w:p w14:paraId="70BF8C38">
      <w:pPr>
        <w:pStyle w:val="25"/>
        <w:autoSpaceDE w:val="0"/>
        <w:spacing w:line="640" w:lineRule="exact"/>
        <w:jc w:val="center"/>
        <w:rPr>
          <w:rFonts w:ascii="Times New Roman" w:hAnsi="Times New Roman" w:eastAsia="小标宋" w:cs="Times New Roman"/>
          <w:sz w:val="44"/>
          <w:szCs w:val="44"/>
          <w:highlight w:val="none"/>
        </w:rPr>
      </w:pPr>
      <w:r>
        <w:rPr>
          <w:rFonts w:ascii="Times New Roman" w:hAnsi="Times New Roman" w:eastAsia="小标宋" w:cs="Times New Roman"/>
          <w:sz w:val="44"/>
          <w:szCs w:val="44"/>
          <w:highlight w:val="none"/>
        </w:rPr>
        <w:t>最终报价表</w:t>
      </w:r>
    </w:p>
    <w:p w14:paraId="19910842">
      <w:pPr>
        <w:pStyle w:val="13"/>
        <w:spacing w:line="500" w:lineRule="exact"/>
        <w:ind w:left="0"/>
        <w:rPr>
          <w:highlight w:val="none"/>
        </w:rPr>
      </w:pPr>
    </w:p>
    <w:p w14:paraId="3076BCDE">
      <w:pPr>
        <w:pStyle w:val="13"/>
        <w:spacing w:line="500" w:lineRule="exact"/>
        <w:ind w:left="0"/>
        <w:rPr>
          <w:rFonts w:eastAsia="仿宋_GB2312"/>
          <w:sz w:val="32"/>
          <w:szCs w:val="32"/>
          <w:highlight w:val="none"/>
        </w:rPr>
      </w:pPr>
      <w:r>
        <w:rPr>
          <w:rFonts w:hint="eastAsia" w:eastAsia="仿宋_GB2312"/>
          <w:sz w:val="32"/>
          <w:szCs w:val="32"/>
          <w:highlight w:val="none"/>
          <w:lang w:eastAsia="zh-CN"/>
        </w:rPr>
        <w:t>竞标</w:t>
      </w:r>
      <w:r>
        <w:rPr>
          <w:rFonts w:eastAsia="仿宋_GB2312"/>
          <w:sz w:val="32"/>
          <w:szCs w:val="32"/>
          <w:highlight w:val="none"/>
        </w:rPr>
        <w:t>单位名称：</w:t>
      </w:r>
    </w:p>
    <w:p w14:paraId="06A5F327">
      <w:pPr>
        <w:pStyle w:val="13"/>
        <w:spacing w:line="500" w:lineRule="exact"/>
        <w:ind w:left="0"/>
        <w:rPr>
          <w:rFonts w:eastAsia="仿宋_GB2312"/>
          <w:sz w:val="32"/>
          <w:szCs w:val="32"/>
          <w:highlight w:val="none"/>
        </w:rPr>
      </w:pPr>
      <w:r>
        <w:rPr>
          <w:rFonts w:eastAsia="仿宋_GB2312"/>
          <w:sz w:val="32"/>
          <w:szCs w:val="32"/>
          <w:highlight w:val="none"/>
        </w:rPr>
        <w:t>项目名称：</w:t>
      </w:r>
      <w:r>
        <w:rPr>
          <w:rFonts w:hint="eastAsia" w:eastAsia="仿宋_GB2312"/>
          <w:sz w:val="32"/>
          <w:szCs w:val="32"/>
          <w:highlight w:val="none"/>
        </w:rPr>
        <w:t>桂林银行采购洗钱风险自评估咨询项目</w:t>
      </w:r>
      <w:r>
        <w:rPr>
          <w:rFonts w:eastAsia="仿宋_GB2312"/>
          <w:sz w:val="32"/>
          <w:szCs w:val="32"/>
          <w:highlight w:val="none"/>
        </w:rPr>
        <w:t xml:space="preserve"> </w:t>
      </w:r>
    </w:p>
    <w:p w14:paraId="45CCBBDF">
      <w:pPr>
        <w:pStyle w:val="2"/>
        <w:spacing w:after="0" w:line="500" w:lineRule="exact"/>
        <w:rPr>
          <w:rFonts w:hint="default" w:eastAsia="仿宋_GB2312"/>
          <w:sz w:val="32"/>
          <w:szCs w:val="32"/>
          <w:highlight w:val="none"/>
          <w:lang w:val="en-US" w:eastAsia="zh-CN"/>
        </w:rPr>
      </w:pPr>
      <w:r>
        <w:rPr>
          <w:rFonts w:eastAsia="仿宋_GB2312"/>
          <w:sz w:val="32"/>
          <w:szCs w:val="32"/>
          <w:highlight w:val="none"/>
        </w:rPr>
        <w:t>项目编号：GYJC202</w:t>
      </w:r>
      <w:r>
        <w:rPr>
          <w:rFonts w:hint="eastAsia" w:eastAsia="仿宋_GB2312"/>
          <w:sz w:val="32"/>
          <w:szCs w:val="32"/>
          <w:highlight w:val="none"/>
          <w:lang w:val="en-US" w:eastAsia="zh-CN"/>
        </w:rPr>
        <w:t>5155</w:t>
      </w:r>
    </w:p>
    <w:p w14:paraId="48EF1416">
      <w:pPr>
        <w:pStyle w:val="13"/>
        <w:spacing w:line="500" w:lineRule="exact"/>
        <w:ind w:left="0"/>
        <w:rPr>
          <w:rFonts w:eastAsia="仿宋_GB2312"/>
          <w:sz w:val="32"/>
          <w:szCs w:val="32"/>
          <w:highlight w:val="none"/>
        </w:rPr>
      </w:pPr>
      <w:r>
        <w:rPr>
          <w:rFonts w:eastAsia="仿宋_GB2312"/>
          <w:sz w:val="32"/>
          <w:szCs w:val="32"/>
          <w:highlight w:val="none"/>
        </w:rPr>
        <w:t>最终报价</w:t>
      </w:r>
    </w:p>
    <w:p w14:paraId="5AF50A2B">
      <w:pPr>
        <w:spacing w:line="500" w:lineRule="exact"/>
        <w:rPr>
          <w:rFonts w:eastAsia="仿宋_GB2312"/>
          <w:sz w:val="32"/>
          <w:szCs w:val="32"/>
          <w:highlight w:val="none"/>
        </w:rPr>
      </w:pPr>
      <w:r>
        <w:rPr>
          <w:rFonts w:eastAsia="仿宋_GB2312"/>
          <w:sz w:val="32"/>
          <w:szCs w:val="32"/>
          <w:highlight w:val="none"/>
        </w:rPr>
        <w:t>关于</w:t>
      </w:r>
      <w:r>
        <w:rPr>
          <w:rFonts w:hint="eastAsia" w:eastAsia="仿宋_GB2312"/>
          <w:sz w:val="32"/>
          <w:szCs w:val="32"/>
          <w:highlight w:val="none"/>
        </w:rPr>
        <w:t>桂林银行采购洗钱风险自评估咨询项目</w:t>
      </w:r>
      <w:r>
        <w:rPr>
          <w:rFonts w:eastAsia="仿宋_GB2312"/>
          <w:sz w:val="32"/>
          <w:szCs w:val="32"/>
          <w:highlight w:val="none"/>
        </w:rPr>
        <w:t>：</w:t>
      </w:r>
    </w:p>
    <w:p w14:paraId="1E172112">
      <w:pPr>
        <w:pStyle w:val="2"/>
        <w:spacing w:after="0"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1.我公司</w:t>
      </w:r>
      <w:r>
        <w:rPr>
          <w:rFonts w:hint="eastAsia" w:eastAsia="仿宋_GB2312"/>
          <w:sz w:val="32"/>
          <w:szCs w:val="32"/>
          <w:highlight w:val="none"/>
        </w:rPr>
        <w:t>（单位）</w:t>
      </w:r>
      <w:r>
        <w:rPr>
          <w:rFonts w:eastAsia="仿宋_GB2312"/>
          <w:sz w:val="32"/>
          <w:szCs w:val="32"/>
          <w:highlight w:val="none"/>
        </w:rPr>
        <w:t>最终报价与原报价一致。</w:t>
      </w:r>
    </w:p>
    <w:p w14:paraId="6D2BB3F3">
      <w:pPr>
        <w:spacing w:line="500" w:lineRule="exact"/>
        <w:rPr>
          <w:rFonts w:eastAsia="仿宋_GB2312"/>
          <w:sz w:val="32"/>
          <w:szCs w:val="32"/>
          <w:highlight w:val="none"/>
        </w:rPr>
      </w:pPr>
      <w:r>
        <w:rPr>
          <w:rFonts w:eastAsia="仿宋_GB2312"/>
          <w:kern w:val="0"/>
          <w:sz w:val="32"/>
          <w:szCs w:val="32"/>
          <w:highlight w:val="none"/>
        </w:rPr>
        <w:sym w:font="Wingdings 2" w:char="00A3"/>
      </w:r>
      <w:r>
        <w:rPr>
          <w:rFonts w:eastAsia="仿宋_GB2312"/>
          <w:sz w:val="32"/>
          <w:szCs w:val="32"/>
          <w:highlight w:val="none"/>
        </w:rPr>
        <w:t>2.我公司</w:t>
      </w:r>
      <w:r>
        <w:rPr>
          <w:rFonts w:hint="eastAsia" w:eastAsia="仿宋_GB2312"/>
          <w:sz w:val="32"/>
          <w:szCs w:val="32"/>
          <w:highlight w:val="none"/>
        </w:rPr>
        <w:t>（单位）</w:t>
      </w:r>
      <w:r>
        <w:rPr>
          <w:rFonts w:eastAsia="仿宋_GB2312"/>
          <w:sz w:val="32"/>
          <w:szCs w:val="32"/>
          <w:highlight w:val="none"/>
        </w:rPr>
        <w:t>最终报价如下：</w:t>
      </w:r>
    </w:p>
    <w:tbl>
      <w:tblPr>
        <w:tblStyle w:val="42"/>
        <w:tblW w:w="961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798"/>
        <w:gridCol w:w="1987"/>
        <w:gridCol w:w="1333"/>
        <w:gridCol w:w="2668"/>
        <w:gridCol w:w="2832"/>
      </w:tblGrid>
      <w:tr w14:paraId="5570844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55" w:hRule="atLeast"/>
          <w:jc w:val="center"/>
        </w:trPr>
        <w:tc>
          <w:tcPr>
            <w:tcW w:w="798" w:type="dxa"/>
            <w:shd w:val="clear" w:color="000000" w:fill="auto"/>
            <w:vAlign w:val="center"/>
          </w:tcPr>
          <w:p w14:paraId="5E5F104B">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序号</w:t>
            </w:r>
          </w:p>
        </w:tc>
        <w:tc>
          <w:tcPr>
            <w:tcW w:w="1987" w:type="dxa"/>
            <w:shd w:val="clear" w:color="000000" w:fill="auto"/>
            <w:vAlign w:val="center"/>
          </w:tcPr>
          <w:p w14:paraId="36EA9402">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项目内容</w:t>
            </w:r>
          </w:p>
        </w:tc>
        <w:tc>
          <w:tcPr>
            <w:tcW w:w="1333" w:type="dxa"/>
            <w:shd w:val="clear" w:color="000000" w:fill="auto"/>
            <w:vAlign w:val="center"/>
          </w:tcPr>
          <w:p w14:paraId="5F1AD2F2">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数量/单位</w:t>
            </w:r>
          </w:p>
        </w:tc>
        <w:tc>
          <w:tcPr>
            <w:tcW w:w="2668" w:type="dxa"/>
            <w:shd w:val="clear" w:color="000000" w:fill="auto"/>
            <w:vAlign w:val="center"/>
          </w:tcPr>
          <w:p w14:paraId="03B37812">
            <w:pPr>
              <w:widowControl/>
              <w:spacing w:line="380" w:lineRule="exact"/>
              <w:jc w:val="center"/>
              <w:rPr>
                <w:rFonts w:hint="eastAsia"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lang w:val="en-US" w:eastAsia="zh-CN"/>
              </w:rPr>
              <w:t>响应单价</w:t>
            </w:r>
            <w:r>
              <w:rPr>
                <w:rFonts w:hint="eastAsia" w:asciiTheme="minorEastAsia" w:hAnsiTheme="minorEastAsia" w:eastAsiaTheme="minorEastAsia" w:cstheme="minorEastAsia"/>
                <w:spacing w:val="-1"/>
                <w:sz w:val="24"/>
                <w:szCs w:val="24"/>
                <w:highlight w:val="none"/>
              </w:rPr>
              <w:t>（元）（含税）</w:t>
            </w:r>
          </w:p>
        </w:tc>
        <w:tc>
          <w:tcPr>
            <w:tcW w:w="2832" w:type="dxa"/>
            <w:shd w:val="clear" w:color="000000" w:fill="auto"/>
            <w:vAlign w:val="center"/>
          </w:tcPr>
          <w:p w14:paraId="0186796A">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rPr>
              <w:t>备注（报价说明）</w:t>
            </w:r>
          </w:p>
        </w:tc>
      </w:tr>
      <w:tr w14:paraId="6968355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800" w:hRule="atLeast"/>
          <w:jc w:val="center"/>
        </w:trPr>
        <w:tc>
          <w:tcPr>
            <w:tcW w:w="798" w:type="dxa"/>
            <w:vAlign w:val="center"/>
          </w:tcPr>
          <w:p w14:paraId="763ACC50">
            <w:pPr>
              <w:widowControl/>
              <w:spacing w:line="380" w:lineRule="exact"/>
              <w:jc w:val="center"/>
              <w:rPr>
                <w:rFonts w:asciiTheme="minorEastAsia" w:hAnsiTheme="minorEastAsia" w:eastAsiaTheme="minorEastAsia" w:cstheme="minorEastAsia"/>
                <w:spacing w:val="-1"/>
                <w:sz w:val="24"/>
                <w:szCs w:val="24"/>
                <w:highlight w:val="none"/>
              </w:rPr>
            </w:pPr>
            <w:r>
              <w:rPr>
                <w:rFonts w:hint="eastAsia" w:asciiTheme="minorEastAsia" w:hAnsiTheme="minorEastAsia" w:eastAsiaTheme="minorEastAsia" w:cstheme="minorEastAsia"/>
                <w:spacing w:val="-1"/>
                <w:sz w:val="24"/>
                <w:szCs w:val="24"/>
                <w:highlight w:val="none"/>
              </w:rPr>
              <w:t>1</w:t>
            </w:r>
          </w:p>
        </w:tc>
        <w:tc>
          <w:tcPr>
            <w:tcW w:w="1987" w:type="dxa"/>
            <w:vAlign w:val="center"/>
          </w:tcPr>
          <w:p w14:paraId="48CDBF56">
            <w:pPr>
              <w:pStyle w:val="36"/>
              <w:keepNext w:val="0"/>
              <w:keepLines w:val="0"/>
              <w:pageBreakBefore w:val="0"/>
              <w:kinsoku/>
              <w:wordWrap/>
              <w:overflowPunct/>
              <w:topLinePunct w:val="0"/>
              <w:bidi w:val="0"/>
              <w:snapToGrid/>
              <w:spacing w:after="0" w:line="380" w:lineRule="exact"/>
              <w:jc w:val="center"/>
              <w:textAlignment w:val="auto"/>
              <w:rPr>
                <w:rFonts w:hint="default" w:asciiTheme="minorEastAsia" w:hAnsiTheme="minorEastAsia" w:eastAsiaTheme="minorEastAsia" w:cstheme="minorEastAsia"/>
                <w:spacing w:val="-1"/>
                <w:sz w:val="24"/>
                <w:szCs w:val="24"/>
                <w:highlight w:val="none"/>
                <w:lang w:val="en-US" w:eastAsia="zh-CN"/>
              </w:rPr>
            </w:pPr>
            <w:r>
              <w:rPr>
                <w:rFonts w:hint="eastAsia"/>
                <w:sz w:val="24"/>
                <w:szCs w:val="24"/>
                <w:highlight w:val="none"/>
              </w:rPr>
              <w:t>洗钱风险自评估咨询</w:t>
            </w:r>
          </w:p>
        </w:tc>
        <w:tc>
          <w:tcPr>
            <w:tcW w:w="1333" w:type="dxa"/>
            <w:vAlign w:val="center"/>
          </w:tcPr>
          <w:p w14:paraId="2199FE19">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1</w:t>
            </w:r>
          </w:p>
        </w:tc>
        <w:tc>
          <w:tcPr>
            <w:tcW w:w="2668" w:type="dxa"/>
            <w:vAlign w:val="center"/>
          </w:tcPr>
          <w:p w14:paraId="5D9EAE2E">
            <w:pPr>
              <w:widowControl/>
              <w:spacing w:line="380" w:lineRule="exact"/>
              <w:jc w:val="center"/>
              <w:rPr>
                <w:rFonts w:asciiTheme="minorEastAsia" w:hAnsiTheme="minorEastAsia" w:eastAsiaTheme="minorEastAsia" w:cstheme="minorEastAsia"/>
                <w:spacing w:val="-1"/>
                <w:sz w:val="24"/>
                <w:szCs w:val="24"/>
                <w:highlight w:val="none"/>
              </w:rPr>
            </w:pPr>
          </w:p>
        </w:tc>
        <w:tc>
          <w:tcPr>
            <w:tcW w:w="2832" w:type="dxa"/>
            <w:vAlign w:val="center"/>
          </w:tcPr>
          <w:p w14:paraId="60F03C2D">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p>
        </w:tc>
      </w:tr>
      <w:tr w14:paraId="091AE0E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79" w:hRule="atLeast"/>
          <w:jc w:val="center"/>
        </w:trPr>
        <w:tc>
          <w:tcPr>
            <w:tcW w:w="9618" w:type="dxa"/>
            <w:gridSpan w:val="5"/>
            <w:vAlign w:val="center"/>
          </w:tcPr>
          <w:p w14:paraId="334A3175">
            <w:pPr>
              <w:widowControl/>
              <w:spacing w:line="380" w:lineRule="exact"/>
              <w:jc w:val="left"/>
              <w:rPr>
                <w:rFonts w:asciiTheme="minorEastAsia" w:hAnsiTheme="minorEastAsia" w:eastAsiaTheme="minorEastAsia" w:cstheme="minorEastAsia"/>
                <w:spacing w:val="-1"/>
                <w:sz w:val="24"/>
                <w:szCs w:val="24"/>
                <w:highlight w:val="none"/>
              </w:rPr>
            </w:pPr>
            <w:r>
              <w:rPr>
                <w:rFonts w:hint="eastAsia" w:ascii="宋体" w:hAnsi="宋体" w:eastAsia="宋体" w:cs="宋体"/>
                <w:color w:val="auto"/>
                <w:sz w:val="24"/>
                <w:szCs w:val="24"/>
                <w:highlight w:val="none"/>
              </w:rPr>
              <w:t>合计金额小写：¥          （大写：人民币                     ）</w:t>
            </w:r>
          </w:p>
        </w:tc>
      </w:tr>
      <w:tr w14:paraId="037C2CF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684" w:hRule="atLeast"/>
          <w:jc w:val="center"/>
        </w:trPr>
        <w:tc>
          <w:tcPr>
            <w:tcW w:w="2785" w:type="dxa"/>
            <w:gridSpan w:val="2"/>
            <w:vAlign w:val="center"/>
          </w:tcPr>
          <w:p w14:paraId="20146E6A">
            <w:pPr>
              <w:widowControl/>
              <w:spacing w:line="380" w:lineRule="exact"/>
              <w:jc w:val="center"/>
              <w:rPr>
                <w:rFonts w:hint="default"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交货期</w:t>
            </w:r>
          </w:p>
        </w:tc>
        <w:tc>
          <w:tcPr>
            <w:tcW w:w="6833" w:type="dxa"/>
            <w:gridSpan w:val="3"/>
            <w:vAlign w:val="center"/>
          </w:tcPr>
          <w:p w14:paraId="7ECB440B">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r w14:paraId="40E661C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709" w:hRule="atLeast"/>
          <w:jc w:val="center"/>
        </w:trPr>
        <w:tc>
          <w:tcPr>
            <w:tcW w:w="2785" w:type="dxa"/>
            <w:gridSpan w:val="2"/>
            <w:vAlign w:val="center"/>
          </w:tcPr>
          <w:p w14:paraId="44FC40C8">
            <w:pPr>
              <w:widowControl/>
              <w:spacing w:line="380" w:lineRule="exact"/>
              <w:jc w:val="center"/>
              <w:rPr>
                <w:rFonts w:hint="eastAsia" w:asciiTheme="minorEastAsia" w:hAnsiTheme="minorEastAsia" w:eastAsiaTheme="minorEastAsia" w:cstheme="minorEastAsia"/>
                <w:spacing w:val="-1"/>
                <w:sz w:val="24"/>
                <w:szCs w:val="24"/>
                <w:highlight w:val="none"/>
                <w:lang w:val="en-US" w:eastAsia="zh-CN"/>
              </w:rPr>
            </w:pPr>
            <w:r>
              <w:rPr>
                <w:rFonts w:hint="eastAsia" w:asciiTheme="minorEastAsia" w:hAnsiTheme="minorEastAsia" w:eastAsiaTheme="minorEastAsia" w:cstheme="minorEastAsia"/>
                <w:spacing w:val="-1"/>
                <w:sz w:val="24"/>
                <w:szCs w:val="24"/>
                <w:highlight w:val="none"/>
                <w:lang w:val="en-US" w:eastAsia="zh-CN"/>
              </w:rPr>
              <w:t>其  他</w:t>
            </w:r>
          </w:p>
        </w:tc>
        <w:tc>
          <w:tcPr>
            <w:tcW w:w="6833" w:type="dxa"/>
            <w:gridSpan w:val="3"/>
            <w:vAlign w:val="center"/>
          </w:tcPr>
          <w:p w14:paraId="53BDBAEF">
            <w:pPr>
              <w:widowControl/>
              <w:spacing w:line="380" w:lineRule="exact"/>
              <w:jc w:val="left"/>
              <w:rPr>
                <w:rFonts w:hint="default" w:asciiTheme="minorEastAsia" w:hAnsiTheme="minorEastAsia" w:eastAsiaTheme="minorEastAsia" w:cstheme="minorEastAsia"/>
                <w:spacing w:val="-1"/>
                <w:sz w:val="24"/>
                <w:szCs w:val="24"/>
                <w:highlight w:val="none"/>
                <w:lang w:val="en-US" w:eastAsia="zh-CN"/>
              </w:rPr>
            </w:pPr>
          </w:p>
        </w:tc>
      </w:tr>
    </w:tbl>
    <w:p w14:paraId="4943DC31">
      <w:pPr>
        <w:tabs>
          <w:tab w:val="left" w:pos="6725"/>
        </w:tabs>
        <w:spacing w:line="586" w:lineRule="exact"/>
        <w:rPr>
          <w:highlight w:val="none"/>
        </w:rPr>
      </w:pPr>
    </w:p>
    <w:p w14:paraId="0FA96E83">
      <w:pPr>
        <w:tabs>
          <w:tab w:val="left" w:pos="6725"/>
        </w:tabs>
        <w:spacing w:line="586" w:lineRule="exact"/>
        <w:rPr>
          <w:highlight w:val="none"/>
        </w:rPr>
      </w:pPr>
      <w:r>
        <w:rPr>
          <w:highlight w:val="none"/>
        </w:rPr>
        <w:t>法定代表人或委托代理人</w:t>
      </w:r>
      <w:r>
        <w:rPr>
          <w:rFonts w:hint="eastAsia"/>
          <w:highlight w:val="none"/>
        </w:rPr>
        <w:t>（</w:t>
      </w:r>
      <w:r>
        <w:rPr>
          <w:highlight w:val="none"/>
        </w:rPr>
        <w:t>签</w:t>
      </w:r>
      <w:r>
        <w:rPr>
          <w:rFonts w:hint="eastAsia"/>
          <w:highlight w:val="none"/>
        </w:rPr>
        <w:t>字或签章）</w:t>
      </w:r>
      <w:r>
        <w:rPr>
          <w:highlight w:val="none"/>
        </w:rPr>
        <w:t>：                             报价时间：</w:t>
      </w:r>
    </w:p>
    <w:p w14:paraId="7980AA1B">
      <w:pPr>
        <w:pStyle w:val="51"/>
        <w:rPr>
          <w:rFonts w:ascii="Times New Roman" w:hAnsi="Times New Roman" w:cs="Times New Roman"/>
          <w:b/>
          <w:bCs/>
          <w:color w:val="auto"/>
          <w:kern w:val="2"/>
          <w:sz w:val="21"/>
          <w:szCs w:val="21"/>
          <w:highlight w:val="none"/>
        </w:rPr>
      </w:pPr>
    </w:p>
    <w:p w14:paraId="1D3AF8B9">
      <w:pPr>
        <w:pStyle w:val="51"/>
        <w:rPr>
          <w:rFonts w:ascii="Times New Roman" w:hAnsi="Times New Roman" w:cs="Times New Roman"/>
          <w:color w:val="auto"/>
          <w:kern w:val="2"/>
          <w:sz w:val="21"/>
          <w:szCs w:val="21"/>
          <w:highlight w:val="none"/>
        </w:rPr>
      </w:pPr>
      <w:r>
        <w:rPr>
          <w:rFonts w:hint="eastAsia" w:ascii="Times New Roman" w:hAnsi="Times New Roman" w:cs="Times New Roman"/>
          <w:b/>
          <w:bCs/>
          <w:color w:val="auto"/>
          <w:kern w:val="2"/>
          <w:sz w:val="21"/>
          <w:szCs w:val="21"/>
          <w:highlight w:val="none"/>
        </w:rPr>
        <w:t>注：</w:t>
      </w:r>
      <w:r>
        <w:rPr>
          <w:rFonts w:hint="eastAsia" w:ascii="Times New Roman" w:hAnsi="Times New Roman" w:cs="Times New Roman"/>
          <w:color w:val="auto"/>
          <w:kern w:val="2"/>
          <w:sz w:val="21"/>
          <w:szCs w:val="21"/>
          <w:highlight w:val="none"/>
        </w:rPr>
        <w:t>该报价表请单独准备，不用封装在响应文件里，磋商现场进行填写。</w:t>
      </w:r>
    </w:p>
    <w:p w14:paraId="0F8D90B6">
      <w:pPr>
        <w:pStyle w:val="51"/>
        <w:rPr>
          <w:highlight w:val="none"/>
        </w:rPr>
      </w:pPr>
    </w:p>
    <w:p w14:paraId="5387410C">
      <w:pPr>
        <w:pStyle w:val="52"/>
        <w:rPr>
          <w:highlight w:val="none"/>
        </w:rPr>
      </w:pPr>
    </w:p>
    <w:sectPr>
      <w:pgSz w:w="11905" w:h="16838"/>
      <w:pgMar w:top="1417" w:right="1361" w:bottom="1417" w:left="1361" w:header="850" w:footer="992" w:gutter="0"/>
      <w:pgBorders>
        <w:top w:val="none" w:sz="0" w:space="0"/>
        <w:left w:val="none" w:sz="0" w:space="0"/>
        <w:bottom w:val="none" w:sz="0" w:space="0"/>
        <w:right w:val="none" w:sz="0" w:space="0"/>
      </w:pgBorders>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roman"/>
    <w:pitch w:val="default"/>
    <w:sig w:usb0="00000000" w:usb1="00000000" w:usb2="0000003F" w:usb3="00000000" w:csb0="603F01FF" w:csb1="FFFF0000"/>
  </w:font>
  <w:font w:name="楷体_GB2312">
    <w:panose1 w:val="02010609030101010101"/>
    <w:charset w:val="86"/>
    <w:family w:val="modern"/>
    <w:pitch w:val="default"/>
    <w:sig w:usb0="00000001" w:usb1="080E0000" w:usb2="00000000" w:usb3="00000000" w:csb0="00040000" w:csb1="00000000"/>
  </w:font>
  <w:font w:name="Microsoft YaHei UI">
    <w:panose1 w:val="020B0503020204020204"/>
    <w:charset w:val="86"/>
    <w:family w:val="swiss"/>
    <w:pitch w:val="default"/>
    <w:sig w:usb0="80000287" w:usb1="2ACF3C50" w:usb2="00000016" w:usb3="00000000" w:csb0="0004001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utura Bk">
    <w:altName w:val="Segoe Print"/>
    <w:panose1 w:val="00000000000000000000"/>
    <w:charset w:val="00"/>
    <w:family w:val="swiss"/>
    <w:pitch w:val="default"/>
    <w:sig w:usb0="00000000" w:usb1="00000000" w:usb2="00000000" w:usb3="00000000" w:csb0="0000009F"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00006FF" w:usb1="4000205B" w:usb2="00000010" w:usb3="00000000" w:csb0="2000019F" w:csb1="00000000"/>
  </w:font>
  <w:font w:name="仿宋_GB2312">
    <w:panose1 w:val="02010609030101010101"/>
    <w:charset w:val="86"/>
    <w:family w:val="modern"/>
    <w:pitch w:val="default"/>
    <w:sig w:usb0="00000001" w:usb1="080E0000" w:usb2="00000000" w:usb3="00000000" w:csb0="00040000" w:csb1="00000000"/>
  </w:font>
  <w:font w:name="小标宋">
    <w:panose1 w:val="03000509000000000000"/>
    <w:charset w:val="86"/>
    <w:family w:val="auto"/>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Kingsoft UE">
    <w:panose1 w:val="02000100010000000000"/>
    <w:charset w:val="00"/>
    <w:family w:val="auto"/>
    <w:pitch w:val="default"/>
    <w:sig w:usb0="00000001" w:usb1="00004000" w:usb2="00000000" w:usb3="00000000" w:csb0="00000001"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FFD55">
    <w:pPr>
      <w:pStyle w:val="29"/>
      <w:jc w:val="center"/>
    </w:pPr>
    <w:r>
      <mc:AlternateContent>
        <mc:Choice Requires="wps">
          <w:drawing>
            <wp:anchor distT="0" distB="0" distL="0" distR="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文本框 102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7CA8A937">
                          <w:pPr>
                            <w:pStyle w:val="2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rect id="文本框 1027"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Ll1uVLQAAAABQEAAA8AAAAAAAAAAQAgAAAAIgAAAGRycy9kb3ducmV2LnhtbFBLAQIUABQA&#10;AAAIAIdO4kChfDZ9vwEAAH4DAAAOAAAAAAAAAAEAIAAAAB8BAABkcnMvZTJvRG9jLnhtbFBLBQYA&#10;AAAABgAGAFkBAABQBQAAAAA=&#10;">
              <v:fill on="f" focussize="0,0"/>
              <v:stroke on="f"/>
              <v:imagedata o:title=""/>
              <o:lock v:ext="edit" aspectratio="f"/>
              <v:textbox inset="0mm,0mm,0mm,0mm" style="mso-fit-shape-to-text:t;">
                <w:txbxContent>
                  <w:p w14:paraId="7CA8A937">
                    <w:pPr>
                      <w:pStyle w:val="29"/>
                    </w:pPr>
                    <w:r>
                      <w:fldChar w:fldCharType="begin"/>
                    </w:r>
                    <w:r>
                      <w:instrText xml:space="preserve"> PAGE  \* MERGEFORMAT </w:instrText>
                    </w:r>
                    <w:r>
                      <w:fldChar w:fldCharType="separate"/>
                    </w:r>
                    <w:r>
                      <w:t>21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01F392">
    <w:pPr>
      <w:pStyle w:val="29"/>
      <w:ind w:right="360"/>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66A6A55B">
                          <w:pPr>
                            <w:pStyle w:val="29"/>
                          </w:pPr>
                          <w:r>
                            <w:fldChar w:fldCharType="begin"/>
                          </w:r>
                          <w:r>
                            <w:instrText xml:space="preserve"> PAGE  \* MERGEFORMAT </w:instrText>
                          </w:r>
                          <w:r>
                            <w:fldChar w:fldCharType="separate"/>
                          </w:r>
                          <w:r>
                            <w:t>5</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">
              <v:fill on="f" focussize="0,0"/>
              <v:stroke on="f"/>
              <v:imagedata o:title=""/>
              <o:lock v:ext="edit" aspectratio="f"/>
              <v:textbox inset="0mm,0mm,0mm,0mm" style="mso-fit-shape-to-text:t;">
                <w:txbxContent>
                  <w:p w14:paraId="66A6A55B">
                    <w:pPr>
                      <w:pStyle w:val="29"/>
                    </w:pPr>
                    <w:r>
                      <w:fldChar w:fldCharType="begin"/>
                    </w:r>
                    <w:r>
                      <w:instrText xml:space="preserve"> PAGE  \* MERGEFORMAT </w:instrText>
                    </w:r>
                    <w:r>
                      <w:fldChar w:fldCharType="separate"/>
                    </w:r>
                    <w:r>
                      <w:t>5</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E37A20">
    <w:pPr>
      <w:pStyle w:val="29"/>
      <w:ind w:right="360"/>
    </w:pPr>
    <w:r>
      <mc:AlternateContent>
        <mc:Choice Requires="wps">
          <w:drawing>
            <wp:anchor distT="0" distB="0" distL="0" distR="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文本框 1028"/>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062923B9">
                          <w:pPr>
                            <w:pStyle w:val="29"/>
                          </w:pPr>
                          <w:r>
                            <w:fldChar w:fldCharType="begin"/>
                          </w:r>
                          <w:r>
                            <w:instrText xml:space="preserve"> PAGE  \* MERGEFORMAT </w:instrText>
                          </w:r>
                          <w:r>
                            <w:fldChar w:fldCharType="separate"/>
                          </w:r>
                          <w:r>
                            <w:t>11</w:t>
                          </w:r>
                          <w:r>
                            <w:fldChar w:fldCharType="end"/>
                          </w:r>
                        </w:p>
                      </w:txbxContent>
                    </wps:txbx>
                    <wps:bodyPr wrap="none" lIns="0" tIns="0" rIns="0" bIns="0">
                      <a:spAutoFit/>
                    </wps:bodyPr>
                  </wps:wsp>
                </a:graphicData>
              </a:graphic>
            </wp:anchor>
          </w:drawing>
        </mc:Choice>
        <mc:Fallback>
          <w:pict>
            <v:rect id="文本框 1028"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">
              <v:fill on="f" focussize="0,0"/>
              <v:stroke on="f"/>
              <v:imagedata o:title=""/>
              <o:lock v:ext="edit" aspectratio="f"/>
              <v:textbox inset="0mm,0mm,0mm,0mm" style="mso-fit-shape-to-text:t;">
                <w:txbxContent>
                  <w:p w14:paraId="062923B9">
                    <w:pPr>
                      <w:pStyle w:val="29"/>
                    </w:pPr>
                    <w:r>
                      <w:fldChar w:fldCharType="begin"/>
                    </w:r>
                    <w:r>
                      <w:instrText xml:space="preserve"> PAGE  \* MERGEFORMAT </w:instrText>
                    </w:r>
                    <w:r>
                      <w:fldChar w:fldCharType="separate"/>
                    </w:r>
                    <w:r>
                      <w:t>11</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010BC2">
    <w:pPr>
      <w:pStyle w:val="29"/>
      <w:ind w:right="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871F456">
                          <w:pPr>
                            <w:pStyle w:val="29"/>
                          </w:pPr>
                          <w:r>
                            <w:fldChar w:fldCharType="begin"/>
                          </w:r>
                          <w:r>
                            <w:instrText xml:space="preserve"> PAGE  \* MERGEFORMAT </w:instrText>
                          </w:r>
                          <w:r>
                            <w:fldChar w:fldCharType="separate"/>
                          </w:r>
                          <w:r>
                            <w:t>21</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lxGWcABAACN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ZyDUgvDkmLFz6yagT1FwMp1QYzRuV1+DxvWQ9/EXbP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M6pebnPAAAABQEAAA8AAAAAAAAAAQAgAAAAIgAAAGRycy9kb3ducmV2LnhtbFBLAQIUABQA&#10;AAAIAIdO4kBaXEZZwAEAAI0DAAAOAAAAAAAAAAEAIAAAAB4BAABkcnMvZTJvRG9jLnhtbFBLBQYA&#10;AAAABgAGAFkBAABQBQAAAAA=&#10;">
              <v:fill on="f" focussize="0,0"/>
              <v:stroke on="f"/>
              <v:imagedata o:title=""/>
              <o:lock v:ext="edit" aspectratio="f"/>
              <v:textbox inset="0mm,0mm,0mm,0mm" style="mso-fit-shape-to-text:t;">
                <w:txbxContent>
                  <w:p w14:paraId="0871F456">
                    <w:pPr>
                      <w:pStyle w:val="29"/>
                    </w:pPr>
                    <w:r>
                      <w:fldChar w:fldCharType="begin"/>
                    </w:r>
                    <w:r>
                      <w:instrText xml:space="preserve"> PAGE  \* MERGEFORMAT </w:instrText>
                    </w:r>
                    <w:r>
                      <w:fldChar w:fldCharType="separate"/>
                    </w:r>
                    <w:r>
                      <w:t>21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966A44">
    <w:pPr>
      <w:pStyle w:val="31"/>
      <w:pBdr>
        <w:bottom w:val="none" w:color="auto" w:sz="0" w:space="1"/>
      </w:pBdr>
      <w:jc w:val="distribute"/>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181D2AF">
    <w:pPr>
      <w:pStyle w:val="31"/>
      <w:pBdr>
        <w:bottom w:val="none" w:color="auto" w:sz="0" w:space="1"/>
      </w:pBdr>
      <w:jc w:val="distribute"/>
      <w:rPr>
        <w:rFonts w:ascii="Arial" w:hAnsi="Arial" w:cs="Aria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FC5D5">
    <w:pPr>
      <w:pStyle w:val="31"/>
      <w:pBdr>
        <w:bottom w:val="none" w:color="auto" w:sz="0" w:space="1"/>
      </w:pBdr>
      <w:jc w:val="distribute"/>
      <w:rPr>
        <w:rFonts w:ascii="Arial" w:hAnsi="Arial" w:cs="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7B87B6"/>
    <w:multiLevelType w:val="singleLevel"/>
    <w:tmpl w:val="CA7B87B6"/>
    <w:lvl w:ilvl="0" w:tentative="0">
      <w:start w:val="1"/>
      <w:numFmt w:val="decimal"/>
      <w:suff w:val="space"/>
      <w:lvlText w:val="%1."/>
      <w:lvlJc w:val="left"/>
    </w:lvl>
  </w:abstractNum>
  <w:abstractNum w:abstractNumId="1">
    <w:nsid w:val="00000001"/>
    <w:multiLevelType w:val="singleLevel"/>
    <w:tmpl w:val="00000001"/>
    <w:lvl w:ilvl="0" w:tentative="0">
      <w:start w:val="1"/>
      <w:numFmt w:val="bullet"/>
      <w:pStyle w:val="136"/>
      <w:lvlText w:val=""/>
      <w:lvlJc w:val="left"/>
      <w:pPr>
        <w:tabs>
          <w:tab w:val="left" w:pos="40"/>
        </w:tabs>
        <w:ind w:left="40" w:hanging="420"/>
      </w:pPr>
      <w:rPr>
        <w:rFonts w:hint="default" w:ascii="Wingdings" w:hAnsi="Wingdings"/>
      </w:rPr>
    </w:lvl>
  </w:abstractNum>
  <w:abstractNum w:abstractNumId="2">
    <w:nsid w:val="00000002"/>
    <w:multiLevelType w:val="multilevel"/>
    <w:tmpl w:val="00000002"/>
    <w:lvl w:ilvl="0" w:tentative="0">
      <w:start w:val="1"/>
      <w:numFmt w:val="lowerLetter"/>
      <w:pStyle w:val="198"/>
      <w:lvlText w:val="%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3"/>
    <w:multiLevelType w:val="singleLevel"/>
    <w:tmpl w:val="00000003"/>
    <w:lvl w:ilvl="0" w:tentative="0">
      <w:start w:val="1"/>
      <w:numFmt w:val="decimal"/>
      <w:pStyle w:val="14"/>
      <w:lvlText w:val="%1."/>
      <w:lvlJc w:val="left"/>
      <w:pPr>
        <w:tabs>
          <w:tab w:val="left" w:pos="360"/>
        </w:tabs>
        <w:ind w:left="360" w:hanging="360"/>
      </w:pPr>
    </w:lvl>
  </w:abstractNum>
  <w:abstractNum w:abstractNumId="4">
    <w:nsid w:val="00000004"/>
    <w:multiLevelType w:val="multilevel"/>
    <w:tmpl w:val="00000004"/>
    <w:lvl w:ilvl="0" w:tentative="0">
      <w:start w:val="1"/>
      <w:numFmt w:val="decimal"/>
      <w:pStyle w:val="191"/>
      <w:lvlText w:val="第%1章  "/>
      <w:lvlJc w:val="left"/>
      <w:pPr>
        <w:tabs>
          <w:tab w:val="left" w:pos="360"/>
        </w:tabs>
        <w:ind w:left="360" w:hanging="360"/>
      </w:pPr>
      <w:rPr>
        <w:rFonts w:hint="eastAsia" w:ascii="Times New Roman" w:hAnsi="Times New Roman" w:cs="Times New Roman"/>
        <w:b w:val="0"/>
        <w:bCs w:val="0"/>
        <w:i w:val="0"/>
        <w:iCs w:val="0"/>
        <w:caps w:val="0"/>
        <w:smallCaps w:val="0"/>
        <w:vanish w:val="0"/>
        <w:color w:val="000000"/>
        <w:spacing w:val="0"/>
        <w:position w:val="0"/>
        <w:u w:val="none"/>
        <w:vertAlign w:val="baseline"/>
      </w:rPr>
    </w:lvl>
    <w:lvl w:ilvl="1" w:tentative="0">
      <w:start w:val="1"/>
      <w:numFmt w:val="decimal"/>
      <w:lvlText w:val="%2."/>
      <w:lvlJc w:val="left"/>
      <w:pPr>
        <w:tabs>
          <w:tab w:val="left" w:pos="900"/>
        </w:tabs>
        <w:ind w:left="540" w:hanging="360"/>
      </w:pPr>
      <w:rPr>
        <w:rFonts w:hint="eastAsia"/>
        <w:color w:val="auto"/>
      </w:rPr>
    </w:lvl>
    <w:lvl w:ilvl="2" w:tentative="0">
      <w:start w:val="1"/>
      <w:numFmt w:val="decimal"/>
      <w:pStyle w:val="134"/>
      <w:lvlText w:val="%1.%2.%3"/>
      <w:lvlJc w:val="left"/>
      <w:pPr>
        <w:tabs>
          <w:tab w:val="left" w:pos="1440"/>
        </w:tabs>
        <w:ind w:left="1080" w:hanging="360"/>
      </w:pPr>
      <w:rPr>
        <w:rFonts w:hint="eastAsia"/>
      </w:rPr>
    </w:lvl>
    <w:lvl w:ilvl="3" w:tentative="0">
      <w:start w:val="1"/>
      <w:numFmt w:val="decimal"/>
      <w:lvlText w:val="%1.%2.%3.%4"/>
      <w:lvlJc w:val="left"/>
      <w:pPr>
        <w:tabs>
          <w:tab w:val="left" w:pos="2160"/>
        </w:tabs>
        <w:ind w:left="1440" w:hanging="360"/>
      </w:pPr>
      <w:rPr>
        <w:rFonts w:hint="eastAsia"/>
      </w:rPr>
    </w:lvl>
    <w:lvl w:ilvl="4" w:tentative="0">
      <w:start w:val="1"/>
      <w:numFmt w:val="lowerLetter"/>
      <w:lvlText w:val="(%5)"/>
      <w:lvlJc w:val="left"/>
      <w:pPr>
        <w:tabs>
          <w:tab w:val="left" w:pos="1800"/>
        </w:tabs>
        <w:ind w:left="1800" w:hanging="360"/>
      </w:pPr>
      <w:rPr>
        <w:rFonts w:hint="eastAsia"/>
      </w:rPr>
    </w:lvl>
    <w:lvl w:ilvl="5" w:tentative="0">
      <w:start w:val="1"/>
      <w:numFmt w:val="lowerRoman"/>
      <w:lvlText w:val="(%6)"/>
      <w:lvlJc w:val="left"/>
      <w:pPr>
        <w:tabs>
          <w:tab w:val="left" w:pos="2160"/>
        </w:tabs>
        <w:ind w:left="2160" w:hanging="360"/>
      </w:pPr>
      <w:rPr>
        <w:rFonts w:hint="eastAsia"/>
      </w:rPr>
    </w:lvl>
    <w:lvl w:ilvl="6" w:tentative="0">
      <w:start w:val="1"/>
      <w:numFmt w:val="decimal"/>
      <w:lvlText w:val="%7."/>
      <w:lvlJc w:val="left"/>
      <w:pPr>
        <w:tabs>
          <w:tab w:val="left" w:pos="2520"/>
        </w:tabs>
        <w:ind w:left="2520" w:hanging="360"/>
      </w:pPr>
      <w:rPr>
        <w:rFonts w:hint="eastAsia"/>
      </w:rPr>
    </w:lvl>
    <w:lvl w:ilvl="7" w:tentative="0">
      <w:start w:val="1"/>
      <w:numFmt w:val="lowerLetter"/>
      <w:lvlText w:val="%8."/>
      <w:lvlJc w:val="left"/>
      <w:pPr>
        <w:tabs>
          <w:tab w:val="left" w:pos="2880"/>
        </w:tabs>
        <w:ind w:left="2880" w:hanging="360"/>
      </w:pPr>
      <w:rPr>
        <w:rFonts w:hint="eastAsia"/>
      </w:rPr>
    </w:lvl>
    <w:lvl w:ilvl="8" w:tentative="0">
      <w:start w:val="1"/>
      <w:numFmt w:val="lowerRoman"/>
      <w:lvlText w:val="%9."/>
      <w:lvlJc w:val="left"/>
      <w:pPr>
        <w:tabs>
          <w:tab w:val="left" w:pos="3240"/>
        </w:tabs>
        <w:ind w:left="3240" w:hanging="360"/>
      </w:pPr>
      <w:rPr>
        <w:rFonts w:hint="eastAsia"/>
      </w:rPr>
    </w:lvl>
  </w:abstractNum>
  <w:abstractNum w:abstractNumId="5">
    <w:nsid w:val="00000005"/>
    <w:multiLevelType w:val="multilevel"/>
    <w:tmpl w:val="00000005"/>
    <w:lvl w:ilvl="0" w:tentative="0">
      <w:start w:val="1"/>
      <w:numFmt w:val="decimal"/>
      <w:pStyle w:val="206"/>
      <w:lvlText w:val="%1)"/>
      <w:lvlJc w:val="left"/>
      <w:pPr>
        <w:tabs>
          <w:tab w:val="left" w:pos="780"/>
        </w:tabs>
        <w:ind w:left="780" w:hanging="420"/>
      </w:pPr>
      <w:rPr>
        <w:rFonts w:hint="default"/>
      </w:rPr>
    </w:lvl>
    <w:lvl w:ilvl="1" w:tentative="0">
      <w:start w:val="1"/>
      <w:numFmt w:val="bullet"/>
      <w:lvlText w:val=""/>
      <w:lvlJc w:val="left"/>
      <w:pPr>
        <w:tabs>
          <w:tab w:val="left" w:pos="420"/>
        </w:tabs>
        <w:ind w:left="420" w:hanging="420"/>
      </w:pPr>
      <w:rPr>
        <w:rFonts w:hint="default" w:ascii="Wingdings" w:hAnsi="Wingdings"/>
      </w:r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num w:numId="1">
    <w:abstractNumId w:val="3"/>
  </w:num>
  <w:num w:numId="2">
    <w:abstractNumId w:val="4"/>
  </w:num>
  <w:num w:numId="3">
    <w:abstractNumId w:val="1"/>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drawingGridHorizontalSpacing w:val="210"/>
  <w:drawingGridVerticalSpacing w:val="156"/>
  <w:displayHorizontalDrawingGridEvery w:val="1"/>
  <w:displayVerticalDrawingGridEvery w:val="1"/>
  <w:doNotShadeFormData w:val="1"/>
  <w:noPunctuationKerning w:val="1"/>
  <w:characterSpacingControl w:val="compressPunctuation"/>
  <w:doNotValidateAgainstSchema/>
  <w:doNotDemarcateInvalidXml/>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Tc1M2MwNWQwMjBlMWUzZjNlNTQzNTJmMDMwYmUyOTYifQ=="/>
  </w:docVars>
  <w:rsids>
    <w:rsidRoot w:val="001D15A1"/>
    <w:rsid w:val="00015B90"/>
    <w:rsid w:val="00043EC5"/>
    <w:rsid w:val="000746D2"/>
    <w:rsid w:val="00075B27"/>
    <w:rsid w:val="000D59F3"/>
    <w:rsid w:val="000F5222"/>
    <w:rsid w:val="00157805"/>
    <w:rsid w:val="00180338"/>
    <w:rsid w:val="00195FCA"/>
    <w:rsid w:val="001D15A1"/>
    <w:rsid w:val="001F7B21"/>
    <w:rsid w:val="00210383"/>
    <w:rsid w:val="00213F1E"/>
    <w:rsid w:val="002202A3"/>
    <w:rsid w:val="00246986"/>
    <w:rsid w:val="002478C4"/>
    <w:rsid w:val="00254234"/>
    <w:rsid w:val="00270B95"/>
    <w:rsid w:val="00285499"/>
    <w:rsid w:val="002979B3"/>
    <w:rsid w:val="002B2E07"/>
    <w:rsid w:val="002F4343"/>
    <w:rsid w:val="00313D1E"/>
    <w:rsid w:val="00315AFF"/>
    <w:rsid w:val="003502AF"/>
    <w:rsid w:val="00386091"/>
    <w:rsid w:val="003935B7"/>
    <w:rsid w:val="00394E42"/>
    <w:rsid w:val="003B53EC"/>
    <w:rsid w:val="003C11DD"/>
    <w:rsid w:val="003E1EEC"/>
    <w:rsid w:val="003F2A37"/>
    <w:rsid w:val="0040726A"/>
    <w:rsid w:val="00412CC3"/>
    <w:rsid w:val="004263F5"/>
    <w:rsid w:val="004358D2"/>
    <w:rsid w:val="004575AB"/>
    <w:rsid w:val="00463FBA"/>
    <w:rsid w:val="004735AB"/>
    <w:rsid w:val="00475125"/>
    <w:rsid w:val="0048721A"/>
    <w:rsid w:val="00490F9F"/>
    <w:rsid w:val="00493B03"/>
    <w:rsid w:val="004B2E69"/>
    <w:rsid w:val="004C1AAB"/>
    <w:rsid w:val="004D4DCF"/>
    <w:rsid w:val="0052285C"/>
    <w:rsid w:val="00531228"/>
    <w:rsid w:val="00532496"/>
    <w:rsid w:val="005530BD"/>
    <w:rsid w:val="00556B40"/>
    <w:rsid w:val="00561FC9"/>
    <w:rsid w:val="005B0CE1"/>
    <w:rsid w:val="005C0347"/>
    <w:rsid w:val="005F16DF"/>
    <w:rsid w:val="00610D13"/>
    <w:rsid w:val="00624491"/>
    <w:rsid w:val="00642B9B"/>
    <w:rsid w:val="0065510B"/>
    <w:rsid w:val="0066328F"/>
    <w:rsid w:val="006711D5"/>
    <w:rsid w:val="006A545E"/>
    <w:rsid w:val="006B415D"/>
    <w:rsid w:val="006C4A7A"/>
    <w:rsid w:val="006D2694"/>
    <w:rsid w:val="006E19D1"/>
    <w:rsid w:val="006F1106"/>
    <w:rsid w:val="00701DBA"/>
    <w:rsid w:val="00711D34"/>
    <w:rsid w:val="007433C4"/>
    <w:rsid w:val="00762FF2"/>
    <w:rsid w:val="00771D50"/>
    <w:rsid w:val="00794A95"/>
    <w:rsid w:val="007D36F0"/>
    <w:rsid w:val="007E2B18"/>
    <w:rsid w:val="007E7031"/>
    <w:rsid w:val="008023FF"/>
    <w:rsid w:val="0081109A"/>
    <w:rsid w:val="00820A9C"/>
    <w:rsid w:val="008211DF"/>
    <w:rsid w:val="008578F0"/>
    <w:rsid w:val="00872909"/>
    <w:rsid w:val="00874E85"/>
    <w:rsid w:val="008A353C"/>
    <w:rsid w:val="008B26FE"/>
    <w:rsid w:val="008C37D2"/>
    <w:rsid w:val="008C6485"/>
    <w:rsid w:val="008D28BF"/>
    <w:rsid w:val="008E6D8D"/>
    <w:rsid w:val="00921994"/>
    <w:rsid w:val="009432A2"/>
    <w:rsid w:val="0094472A"/>
    <w:rsid w:val="00947C2D"/>
    <w:rsid w:val="0096604C"/>
    <w:rsid w:val="00973900"/>
    <w:rsid w:val="00982AA7"/>
    <w:rsid w:val="00986A41"/>
    <w:rsid w:val="00994F9F"/>
    <w:rsid w:val="00995585"/>
    <w:rsid w:val="00A10A74"/>
    <w:rsid w:val="00A2280B"/>
    <w:rsid w:val="00A22EA2"/>
    <w:rsid w:val="00A245DF"/>
    <w:rsid w:val="00A26246"/>
    <w:rsid w:val="00A51AC6"/>
    <w:rsid w:val="00A8550F"/>
    <w:rsid w:val="00AA0D53"/>
    <w:rsid w:val="00AC691F"/>
    <w:rsid w:val="00AD1363"/>
    <w:rsid w:val="00AD377E"/>
    <w:rsid w:val="00AE3CDF"/>
    <w:rsid w:val="00AF4272"/>
    <w:rsid w:val="00B03E9D"/>
    <w:rsid w:val="00B07077"/>
    <w:rsid w:val="00B13DE7"/>
    <w:rsid w:val="00B53693"/>
    <w:rsid w:val="00B5755E"/>
    <w:rsid w:val="00B677D0"/>
    <w:rsid w:val="00B76947"/>
    <w:rsid w:val="00BB0408"/>
    <w:rsid w:val="00BD413C"/>
    <w:rsid w:val="00BF2834"/>
    <w:rsid w:val="00C018C3"/>
    <w:rsid w:val="00C05C18"/>
    <w:rsid w:val="00C20FCB"/>
    <w:rsid w:val="00C33A29"/>
    <w:rsid w:val="00C35938"/>
    <w:rsid w:val="00C37FB8"/>
    <w:rsid w:val="00C73FDE"/>
    <w:rsid w:val="00C81960"/>
    <w:rsid w:val="00C9581D"/>
    <w:rsid w:val="00C97945"/>
    <w:rsid w:val="00C97E3E"/>
    <w:rsid w:val="00CC21BA"/>
    <w:rsid w:val="00CE54B3"/>
    <w:rsid w:val="00D06258"/>
    <w:rsid w:val="00D34AB4"/>
    <w:rsid w:val="00D40546"/>
    <w:rsid w:val="00D6313A"/>
    <w:rsid w:val="00D752BA"/>
    <w:rsid w:val="00D77D9D"/>
    <w:rsid w:val="00D8105A"/>
    <w:rsid w:val="00D92564"/>
    <w:rsid w:val="00DA1199"/>
    <w:rsid w:val="00DB0EF4"/>
    <w:rsid w:val="00DD2F6B"/>
    <w:rsid w:val="00DE38FE"/>
    <w:rsid w:val="00E93E6E"/>
    <w:rsid w:val="00EB4480"/>
    <w:rsid w:val="00EB57A9"/>
    <w:rsid w:val="00EB6C42"/>
    <w:rsid w:val="00EE4882"/>
    <w:rsid w:val="00EE7355"/>
    <w:rsid w:val="00F123FE"/>
    <w:rsid w:val="00F158F3"/>
    <w:rsid w:val="00F17187"/>
    <w:rsid w:val="00F2510D"/>
    <w:rsid w:val="00F279F4"/>
    <w:rsid w:val="00F43833"/>
    <w:rsid w:val="00F56A5A"/>
    <w:rsid w:val="00F646F6"/>
    <w:rsid w:val="00F7249D"/>
    <w:rsid w:val="00F7751B"/>
    <w:rsid w:val="00F900AD"/>
    <w:rsid w:val="00F95953"/>
    <w:rsid w:val="00FA045B"/>
    <w:rsid w:val="00FC3F53"/>
    <w:rsid w:val="00FD7477"/>
    <w:rsid w:val="00FE19F8"/>
    <w:rsid w:val="01543520"/>
    <w:rsid w:val="015D297D"/>
    <w:rsid w:val="02341C5A"/>
    <w:rsid w:val="024C4930"/>
    <w:rsid w:val="027D1F56"/>
    <w:rsid w:val="02C957D1"/>
    <w:rsid w:val="02D33B93"/>
    <w:rsid w:val="02DF4869"/>
    <w:rsid w:val="03191E04"/>
    <w:rsid w:val="039B7A34"/>
    <w:rsid w:val="03B633EB"/>
    <w:rsid w:val="03BB5C30"/>
    <w:rsid w:val="03E312C3"/>
    <w:rsid w:val="0429522B"/>
    <w:rsid w:val="043C7EC9"/>
    <w:rsid w:val="046D615C"/>
    <w:rsid w:val="04B4532A"/>
    <w:rsid w:val="04EC3F5D"/>
    <w:rsid w:val="050F525C"/>
    <w:rsid w:val="051E2A19"/>
    <w:rsid w:val="05AA0491"/>
    <w:rsid w:val="062737D8"/>
    <w:rsid w:val="063A75FA"/>
    <w:rsid w:val="063B4AA5"/>
    <w:rsid w:val="065F230A"/>
    <w:rsid w:val="07372F85"/>
    <w:rsid w:val="07E30794"/>
    <w:rsid w:val="07E63896"/>
    <w:rsid w:val="08007BC4"/>
    <w:rsid w:val="08023860"/>
    <w:rsid w:val="08212C01"/>
    <w:rsid w:val="083225F0"/>
    <w:rsid w:val="087A4FD1"/>
    <w:rsid w:val="089F2BC6"/>
    <w:rsid w:val="08BC2A1A"/>
    <w:rsid w:val="08DB6D5C"/>
    <w:rsid w:val="08E41D65"/>
    <w:rsid w:val="090B25A2"/>
    <w:rsid w:val="094E43EF"/>
    <w:rsid w:val="09905E0D"/>
    <w:rsid w:val="09A75694"/>
    <w:rsid w:val="09CC0C15"/>
    <w:rsid w:val="09D634BD"/>
    <w:rsid w:val="09E70EF3"/>
    <w:rsid w:val="0A041D68"/>
    <w:rsid w:val="0A2E773B"/>
    <w:rsid w:val="0A7F3A7F"/>
    <w:rsid w:val="0AB212CD"/>
    <w:rsid w:val="0AF0023C"/>
    <w:rsid w:val="0B28609B"/>
    <w:rsid w:val="0B485165"/>
    <w:rsid w:val="0B64514E"/>
    <w:rsid w:val="0B6B4796"/>
    <w:rsid w:val="0BAC7952"/>
    <w:rsid w:val="0C622CD2"/>
    <w:rsid w:val="0C7968A4"/>
    <w:rsid w:val="0D38144C"/>
    <w:rsid w:val="0D606D38"/>
    <w:rsid w:val="0DA54883"/>
    <w:rsid w:val="0DCF5371"/>
    <w:rsid w:val="0DD91F2A"/>
    <w:rsid w:val="0DE719D0"/>
    <w:rsid w:val="0E15484D"/>
    <w:rsid w:val="0E58749B"/>
    <w:rsid w:val="0E691BA6"/>
    <w:rsid w:val="0E70565D"/>
    <w:rsid w:val="0E871FE6"/>
    <w:rsid w:val="0ECC3869"/>
    <w:rsid w:val="0F152FD6"/>
    <w:rsid w:val="0F180CBD"/>
    <w:rsid w:val="0F2A04C4"/>
    <w:rsid w:val="0F3E582E"/>
    <w:rsid w:val="0F745F58"/>
    <w:rsid w:val="0F745F6E"/>
    <w:rsid w:val="0F8B0A1D"/>
    <w:rsid w:val="0FD80B0A"/>
    <w:rsid w:val="10197082"/>
    <w:rsid w:val="101C630F"/>
    <w:rsid w:val="10954B65"/>
    <w:rsid w:val="10D149D6"/>
    <w:rsid w:val="11021C58"/>
    <w:rsid w:val="111F62D1"/>
    <w:rsid w:val="11323BF4"/>
    <w:rsid w:val="11390A21"/>
    <w:rsid w:val="11481909"/>
    <w:rsid w:val="117A57CA"/>
    <w:rsid w:val="118446B3"/>
    <w:rsid w:val="11907E45"/>
    <w:rsid w:val="1191743C"/>
    <w:rsid w:val="11A974DE"/>
    <w:rsid w:val="11AA727D"/>
    <w:rsid w:val="11F36D9B"/>
    <w:rsid w:val="12964A86"/>
    <w:rsid w:val="1337166D"/>
    <w:rsid w:val="133B0F04"/>
    <w:rsid w:val="13571760"/>
    <w:rsid w:val="13752161"/>
    <w:rsid w:val="138D2FB7"/>
    <w:rsid w:val="13BD65BB"/>
    <w:rsid w:val="1427419B"/>
    <w:rsid w:val="146F3700"/>
    <w:rsid w:val="14775E4A"/>
    <w:rsid w:val="14DF775A"/>
    <w:rsid w:val="15165984"/>
    <w:rsid w:val="15560A1C"/>
    <w:rsid w:val="16046039"/>
    <w:rsid w:val="16722EB2"/>
    <w:rsid w:val="168A663E"/>
    <w:rsid w:val="170532D4"/>
    <w:rsid w:val="17422893"/>
    <w:rsid w:val="175B4760"/>
    <w:rsid w:val="179D6347"/>
    <w:rsid w:val="17FA0855"/>
    <w:rsid w:val="18605572"/>
    <w:rsid w:val="18744B56"/>
    <w:rsid w:val="18F83355"/>
    <w:rsid w:val="18FB7654"/>
    <w:rsid w:val="19051898"/>
    <w:rsid w:val="192E4684"/>
    <w:rsid w:val="194841D4"/>
    <w:rsid w:val="195F50BF"/>
    <w:rsid w:val="1982780D"/>
    <w:rsid w:val="1987145E"/>
    <w:rsid w:val="19AC725F"/>
    <w:rsid w:val="1A032675"/>
    <w:rsid w:val="1A036FB9"/>
    <w:rsid w:val="1A0B502C"/>
    <w:rsid w:val="1A9345E7"/>
    <w:rsid w:val="1AAB238F"/>
    <w:rsid w:val="1AAE0CAE"/>
    <w:rsid w:val="1B08435B"/>
    <w:rsid w:val="1B1E03FA"/>
    <w:rsid w:val="1BAD2CF8"/>
    <w:rsid w:val="1BB945B2"/>
    <w:rsid w:val="1BBF4F83"/>
    <w:rsid w:val="1BF43DFF"/>
    <w:rsid w:val="1C6E4955"/>
    <w:rsid w:val="1C831335"/>
    <w:rsid w:val="1C960B02"/>
    <w:rsid w:val="1CC969C9"/>
    <w:rsid w:val="1CD8640C"/>
    <w:rsid w:val="1D0048A3"/>
    <w:rsid w:val="1D0609AB"/>
    <w:rsid w:val="1D227154"/>
    <w:rsid w:val="1D305D3E"/>
    <w:rsid w:val="1DB757DB"/>
    <w:rsid w:val="1DFF5E2B"/>
    <w:rsid w:val="1E1C35EE"/>
    <w:rsid w:val="1E384BD6"/>
    <w:rsid w:val="1E4E53A9"/>
    <w:rsid w:val="1E7B2211"/>
    <w:rsid w:val="1E87344B"/>
    <w:rsid w:val="1F171A10"/>
    <w:rsid w:val="1F764C8E"/>
    <w:rsid w:val="1FBA4015"/>
    <w:rsid w:val="201568DC"/>
    <w:rsid w:val="202366CA"/>
    <w:rsid w:val="20D91F25"/>
    <w:rsid w:val="20E651AE"/>
    <w:rsid w:val="20EC3F40"/>
    <w:rsid w:val="212E607E"/>
    <w:rsid w:val="21A842C7"/>
    <w:rsid w:val="21EF4280"/>
    <w:rsid w:val="220F6F4A"/>
    <w:rsid w:val="221D0E35"/>
    <w:rsid w:val="224E322A"/>
    <w:rsid w:val="225F2DF6"/>
    <w:rsid w:val="22785881"/>
    <w:rsid w:val="22E14D8C"/>
    <w:rsid w:val="22F57EC0"/>
    <w:rsid w:val="23175156"/>
    <w:rsid w:val="231E6449"/>
    <w:rsid w:val="233550AC"/>
    <w:rsid w:val="234838C5"/>
    <w:rsid w:val="236F176F"/>
    <w:rsid w:val="237E534A"/>
    <w:rsid w:val="23942ECE"/>
    <w:rsid w:val="23CB53CB"/>
    <w:rsid w:val="240D4A36"/>
    <w:rsid w:val="2420637E"/>
    <w:rsid w:val="24514AC4"/>
    <w:rsid w:val="248145CE"/>
    <w:rsid w:val="24C56914"/>
    <w:rsid w:val="24D9703C"/>
    <w:rsid w:val="24FD6EB0"/>
    <w:rsid w:val="251D58C0"/>
    <w:rsid w:val="251E1338"/>
    <w:rsid w:val="25593F53"/>
    <w:rsid w:val="256061CD"/>
    <w:rsid w:val="260C78DC"/>
    <w:rsid w:val="26286440"/>
    <w:rsid w:val="26C40C62"/>
    <w:rsid w:val="273346AC"/>
    <w:rsid w:val="2759419E"/>
    <w:rsid w:val="278B357E"/>
    <w:rsid w:val="27C47FCA"/>
    <w:rsid w:val="27CD0A06"/>
    <w:rsid w:val="27E0459D"/>
    <w:rsid w:val="281370D7"/>
    <w:rsid w:val="2867189C"/>
    <w:rsid w:val="28B2562D"/>
    <w:rsid w:val="28CB6FE9"/>
    <w:rsid w:val="291702E3"/>
    <w:rsid w:val="294E0184"/>
    <w:rsid w:val="297D46EA"/>
    <w:rsid w:val="29BF6609"/>
    <w:rsid w:val="29EE4236"/>
    <w:rsid w:val="2A107EA1"/>
    <w:rsid w:val="2A18065E"/>
    <w:rsid w:val="2A18434F"/>
    <w:rsid w:val="2A7C419E"/>
    <w:rsid w:val="2ABC4CA9"/>
    <w:rsid w:val="2ACD4C7D"/>
    <w:rsid w:val="2AEA7828"/>
    <w:rsid w:val="2C712558"/>
    <w:rsid w:val="2C74148F"/>
    <w:rsid w:val="2C9420DE"/>
    <w:rsid w:val="2CDC3F4A"/>
    <w:rsid w:val="2D3078CE"/>
    <w:rsid w:val="2D825884"/>
    <w:rsid w:val="2D840AC3"/>
    <w:rsid w:val="2E172C16"/>
    <w:rsid w:val="2E192583"/>
    <w:rsid w:val="2E917373"/>
    <w:rsid w:val="2EA803AD"/>
    <w:rsid w:val="2F093C75"/>
    <w:rsid w:val="2F5B483E"/>
    <w:rsid w:val="30396CCA"/>
    <w:rsid w:val="30617326"/>
    <w:rsid w:val="30942635"/>
    <w:rsid w:val="30AA4E34"/>
    <w:rsid w:val="30AF5518"/>
    <w:rsid w:val="30CE387C"/>
    <w:rsid w:val="30ED390A"/>
    <w:rsid w:val="30EF279C"/>
    <w:rsid w:val="311846BA"/>
    <w:rsid w:val="311C0FA2"/>
    <w:rsid w:val="312934FA"/>
    <w:rsid w:val="314306EF"/>
    <w:rsid w:val="315C4BBC"/>
    <w:rsid w:val="31A87524"/>
    <w:rsid w:val="32321442"/>
    <w:rsid w:val="325742E7"/>
    <w:rsid w:val="3261507D"/>
    <w:rsid w:val="326C7146"/>
    <w:rsid w:val="3278467D"/>
    <w:rsid w:val="32D75CFD"/>
    <w:rsid w:val="332B24E1"/>
    <w:rsid w:val="333172E2"/>
    <w:rsid w:val="339755AD"/>
    <w:rsid w:val="33BD070F"/>
    <w:rsid w:val="33E13D7E"/>
    <w:rsid w:val="346E7B0F"/>
    <w:rsid w:val="34891FAA"/>
    <w:rsid w:val="34DA7405"/>
    <w:rsid w:val="3525254D"/>
    <w:rsid w:val="3546319D"/>
    <w:rsid w:val="356D181F"/>
    <w:rsid w:val="35E825E5"/>
    <w:rsid w:val="35EC364C"/>
    <w:rsid w:val="363975E0"/>
    <w:rsid w:val="364527D0"/>
    <w:rsid w:val="3682654A"/>
    <w:rsid w:val="369B3F26"/>
    <w:rsid w:val="36A83D73"/>
    <w:rsid w:val="36B61B97"/>
    <w:rsid w:val="36C66B82"/>
    <w:rsid w:val="36E4544E"/>
    <w:rsid w:val="36E82648"/>
    <w:rsid w:val="37246214"/>
    <w:rsid w:val="3742644A"/>
    <w:rsid w:val="374537CE"/>
    <w:rsid w:val="3786541B"/>
    <w:rsid w:val="37A30785"/>
    <w:rsid w:val="37D17D8C"/>
    <w:rsid w:val="38286997"/>
    <w:rsid w:val="38751B1E"/>
    <w:rsid w:val="38B67482"/>
    <w:rsid w:val="38DD10A8"/>
    <w:rsid w:val="38F25089"/>
    <w:rsid w:val="39220501"/>
    <w:rsid w:val="39346BA5"/>
    <w:rsid w:val="393C0FB5"/>
    <w:rsid w:val="39891022"/>
    <w:rsid w:val="39BF5D4C"/>
    <w:rsid w:val="39EF4084"/>
    <w:rsid w:val="3A4244AD"/>
    <w:rsid w:val="3A600059"/>
    <w:rsid w:val="3A8B3A41"/>
    <w:rsid w:val="3ACE3441"/>
    <w:rsid w:val="3ACF57C1"/>
    <w:rsid w:val="3AD52C84"/>
    <w:rsid w:val="3AFB17A0"/>
    <w:rsid w:val="3B6829F2"/>
    <w:rsid w:val="3BA43B72"/>
    <w:rsid w:val="3BC336ED"/>
    <w:rsid w:val="3BC66FE2"/>
    <w:rsid w:val="3BE049B8"/>
    <w:rsid w:val="3C051614"/>
    <w:rsid w:val="3C575D10"/>
    <w:rsid w:val="3C743CBC"/>
    <w:rsid w:val="3C784DE9"/>
    <w:rsid w:val="3C8965F4"/>
    <w:rsid w:val="3CA40A50"/>
    <w:rsid w:val="3CAE7A85"/>
    <w:rsid w:val="3CE16959"/>
    <w:rsid w:val="3D6A75A8"/>
    <w:rsid w:val="3DA346B2"/>
    <w:rsid w:val="3DC23245"/>
    <w:rsid w:val="3DC547E7"/>
    <w:rsid w:val="3DD75CDB"/>
    <w:rsid w:val="3DE05693"/>
    <w:rsid w:val="3DF04754"/>
    <w:rsid w:val="3E187429"/>
    <w:rsid w:val="3E4163B7"/>
    <w:rsid w:val="3E516C76"/>
    <w:rsid w:val="3E83004E"/>
    <w:rsid w:val="3EA84C1E"/>
    <w:rsid w:val="3EB132F4"/>
    <w:rsid w:val="3EEB00F2"/>
    <w:rsid w:val="3F25044D"/>
    <w:rsid w:val="3F650B47"/>
    <w:rsid w:val="3F711DF9"/>
    <w:rsid w:val="3F9635F1"/>
    <w:rsid w:val="3FB629DB"/>
    <w:rsid w:val="3FF259EA"/>
    <w:rsid w:val="402933F7"/>
    <w:rsid w:val="408C466F"/>
    <w:rsid w:val="40DD4B1E"/>
    <w:rsid w:val="411836EE"/>
    <w:rsid w:val="417F43AF"/>
    <w:rsid w:val="419D6054"/>
    <w:rsid w:val="42012F26"/>
    <w:rsid w:val="42551627"/>
    <w:rsid w:val="42760E9B"/>
    <w:rsid w:val="42A64D86"/>
    <w:rsid w:val="42B45D29"/>
    <w:rsid w:val="42D86C2D"/>
    <w:rsid w:val="42F90DD2"/>
    <w:rsid w:val="42FB7B44"/>
    <w:rsid w:val="430A4CCE"/>
    <w:rsid w:val="43287A2A"/>
    <w:rsid w:val="43450D45"/>
    <w:rsid w:val="435C03E0"/>
    <w:rsid w:val="43735ECA"/>
    <w:rsid w:val="437563B2"/>
    <w:rsid w:val="43771580"/>
    <w:rsid w:val="4381206A"/>
    <w:rsid w:val="43875945"/>
    <w:rsid w:val="43A76ABB"/>
    <w:rsid w:val="43F40443"/>
    <w:rsid w:val="44201F89"/>
    <w:rsid w:val="445A47A6"/>
    <w:rsid w:val="4476177F"/>
    <w:rsid w:val="44765B87"/>
    <w:rsid w:val="44A94D63"/>
    <w:rsid w:val="44B82FFE"/>
    <w:rsid w:val="44D0516F"/>
    <w:rsid w:val="453D4382"/>
    <w:rsid w:val="45657B4D"/>
    <w:rsid w:val="45782515"/>
    <w:rsid w:val="45A303DF"/>
    <w:rsid w:val="45F66478"/>
    <w:rsid w:val="462831F5"/>
    <w:rsid w:val="465874DC"/>
    <w:rsid w:val="468764DD"/>
    <w:rsid w:val="46B0173E"/>
    <w:rsid w:val="46B45E61"/>
    <w:rsid w:val="47847600"/>
    <w:rsid w:val="478B2290"/>
    <w:rsid w:val="478F6349"/>
    <w:rsid w:val="482C1D16"/>
    <w:rsid w:val="4838618F"/>
    <w:rsid w:val="48B34F1E"/>
    <w:rsid w:val="48E206AA"/>
    <w:rsid w:val="48EF0448"/>
    <w:rsid w:val="4A0B01E7"/>
    <w:rsid w:val="4A147F9F"/>
    <w:rsid w:val="4A1A38BC"/>
    <w:rsid w:val="4A2819DA"/>
    <w:rsid w:val="4A5D207C"/>
    <w:rsid w:val="4A6307A8"/>
    <w:rsid w:val="4AC365BE"/>
    <w:rsid w:val="4B23609F"/>
    <w:rsid w:val="4B337CD1"/>
    <w:rsid w:val="4B5910BD"/>
    <w:rsid w:val="4BB62D24"/>
    <w:rsid w:val="4BCA760D"/>
    <w:rsid w:val="4C086BF2"/>
    <w:rsid w:val="4C681DAD"/>
    <w:rsid w:val="4C904E48"/>
    <w:rsid w:val="4CA6358F"/>
    <w:rsid w:val="4CF13C83"/>
    <w:rsid w:val="4CF56BA6"/>
    <w:rsid w:val="4CFC4103"/>
    <w:rsid w:val="4D222610"/>
    <w:rsid w:val="4D8F54F4"/>
    <w:rsid w:val="4DB91460"/>
    <w:rsid w:val="4DE55D12"/>
    <w:rsid w:val="4E0A5FE2"/>
    <w:rsid w:val="4E483A99"/>
    <w:rsid w:val="4E560DDD"/>
    <w:rsid w:val="4EC06069"/>
    <w:rsid w:val="4FD006A3"/>
    <w:rsid w:val="502D045B"/>
    <w:rsid w:val="504970B9"/>
    <w:rsid w:val="5072726E"/>
    <w:rsid w:val="509E3FB5"/>
    <w:rsid w:val="50D040DC"/>
    <w:rsid w:val="50F76A85"/>
    <w:rsid w:val="514C5BEE"/>
    <w:rsid w:val="516C2F33"/>
    <w:rsid w:val="51B87B23"/>
    <w:rsid w:val="51C615D4"/>
    <w:rsid w:val="521E5E59"/>
    <w:rsid w:val="529F19C6"/>
    <w:rsid w:val="52D25E96"/>
    <w:rsid w:val="52D9392C"/>
    <w:rsid w:val="53516E17"/>
    <w:rsid w:val="53EA6C3F"/>
    <w:rsid w:val="54327ADE"/>
    <w:rsid w:val="54802145"/>
    <w:rsid w:val="549F3E4E"/>
    <w:rsid w:val="54A26135"/>
    <w:rsid w:val="54AD3776"/>
    <w:rsid w:val="54D35669"/>
    <w:rsid w:val="54D940C9"/>
    <w:rsid w:val="552603C0"/>
    <w:rsid w:val="558A0D21"/>
    <w:rsid w:val="55A3228D"/>
    <w:rsid w:val="55AC544A"/>
    <w:rsid w:val="55C27D35"/>
    <w:rsid w:val="55E61AA6"/>
    <w:rsid w:val="55EC7275"/>
    <w:rsid w:val="5690577E"/>
    <w:rsid w:val="56B00CC9"/>
    <w:rsid w:val="56D13851"/>
    <w:rsid w:val="57275B86"/>
    <w:rsid w:val="57760BB6"/>
    <w:rsid w:val="578957B7"/>
    <w:rsid w:val="57F11C23"/>
    <w:rsid w:val="580A5293"/>
    <w:rsid w:val="58A607B5"/>
    <w:rsid w:val="58AF59FA"/>
    <w:rsid w:val="58B47A34"/>
    <w:rsid w:val="58D14336"/>
    <w:rsid w:val="58D17A8E"/>
    <w:rsid w:val="59093426"/>
    <w:rsid w:val="59122E26"/>
    <w:rsid w:val="591F1360"/>
    <w:rsid w:val="592B7562"/>
    <w:rsid w:val="595F5FB6"/>
    <w:rsid w:val="59A7166F"/>
    <w:rsid w:val="59FF302A"/>
    <w:rsid w:val="5A3F2B9A"/>
    <w:rsid w:val="5A4F4218"/>
    <w:rsid w:val="5A9E62CB"/>
    <w:rsid w:val="5B61455E"/>
    <w:rsid w:val="5B640B8E"/>
    <w:rsid w:val="5B804ECE"/>
    <w:rsid w:val="5B887C70"/>
    <w:rsid w:val="5BCE4E4F"/>
    <w:rsid w:val="5BDA6EA6"/>
    <w:rsid w:val="5C2F1919"/>
    <w:rsid w:val="5C3A0367"/>
    <w:rsid w:val="5C5201E2"/>
    <w:rsid w:val="5D117F77"/>
    <w:rsid w:val="5D2914A5"/>
    <w:rsid w:val="5D5C5867"/>
    <w:rsid w:val="5D5D2E00"/>
    <w:rsid w:val="5D8663C7"/>
    <w:rsid w:val="5D8F2F5A"/>
    <w:rsid w:val="5DD51CE9"/>
    <w:rsid w:val="5DDB5F32"/>
    <w:rsid w:val="5E0D4C3C"/>
    <w:rsid w:val="5E2E4B10"/>
    <w:rsid w:val="5E9A58E5"/>
    <w:rsid w:val="5ECE651E"/>
    <w:rsid w:val="5EEB5CE7"/>
    <w:rsid w:val="5F1B2C93"/>
    <w:rsid w:val="5F9749F2"/>
    <w:rsid w:val="5F9A1CEB"/>
    <w:rsid w:val="60005700"/>
    <w:rsid w:val="601E3C4E"/>
    <w:rsid w:val="60614E44"/>
    <w:rsid w:val="606F691F"/>
    <w:rsid w:val="609C37E0"/>
    <w:rsid w:val="60B00572"/>
    <w:rsid w:val="60D2327D"/>
    <w:rsid w:val="61335EED"/>
    <w:rsid w:val="613A0A5B"/>
    <w:rsid w:val="617940FB"/>
    <w:rsid w:val="61B56E72"/>
    <w:rsid w:val="621105E9"/>
    <w:rsid w:val="622F072D"/>
    <w:rsid w:val="62666CC8"/>
    <w:rsid w:val="62723D9C"/>
    <w:rsid w:val="62834951"/>
    <w:rsid w:val="628610F5"/>
    <w:rsid w:val="62CF41D1"/>
    <w:rsid w:val="63076802"/>
    <w:rsid w:val="63BB0D30"/>
    <w:rsid w:val="63BF38BE"/>
    <w:rsid w:val="63EA2FEC"/>
    <w:rsid w:val="64197333"/>
    <w:rsid w:val="64241A78"/>
    <w:rsid w:val="64AC3DBD"/>
    <w:rsid w:val="65043DC0"/>
    <w:rsid w:val="65173321"/>
    <w:rsid w:val="652D0E41"/>
    <w:rsid w:val="65510938"/>
    <w:rsid w:val="65835C74"/>
    <w:rsid w:val="65F96C69"/>
    <w:rsid w:val="66066DD6"/>
    <w:rsid w:val="6613639F"/>
    <w:rsid w:val="663761A5"/>
    <w:rsid w:val="665A06AA"/>
    <w:rsid w:val="665B33F3"/>
    <w:rsid w:val="667354F0"/>
    <w:rsid w:val="667A3F84"/>
    <w:rsid w:val="667A6619"/>
    <w:rsid w:val="6705723F"/>
    <w:rsid w:val="674203BE"/>
    <w:rsid w:val="675D15BB"/>
    <w:rsid w:val="67B009D4"/>
    <w:rsid w:val="67B00A56"/>
    <w:rsid w:val="67CB22B8"/>
    <w:rsid w:val="68077758"/>
    <w:rsid w:val="680D4691"/>
    <w:rsid w:val="68125C22"/>
    <w:rsid w:val="681B2FDF"/>
    <w:rsid w:val="68475461"/>
    <w:rsid w:val="68BE4E1C"/>
    <w:rsid w:val="695C047D"/>
    <w:rsid w:val="696A2E0E"/>
    <w:rsid w:val="6A1D2473"/>
    <w:rsid w:val="6A212347"/>
    <w:rsid w:val="6AA80893"/>
    <w:rsid w:val="6ACE2BF0"/>
    <w:rsid w:val="6AD647DB"/>
    <w:rsid w:val="6B075FB5"/>
    <w:rsid w:val="6B5F3556"/>
    <w:rsid w:val="6B8C3CD2"/>
    <w:rsid w:val="6BAB6CDE"/>
    <w:rsid w:val="6C0A0490"/>
    <w:rsid w:val="6C3D038B"/>
    <w:rsid w:val="6C612A86"/>
    <w:rsid w:val="6C7739D3"/>
    <w:rsid w:val="6C8D282E"/>
    <w:rsid w:val="6C94456C"/>
    <w:rsid w:val="6CD71F26"/>
    <w:rsid w:val="6CDC1CA8"/>
    <w:rsid w:val="6D046AE2"/>
    <w:rsid w:val="6D1A56AE"/>
    <w:rsid w:val="6D4D5396"/>
    <w:rsid w:val="6D5072B0"/>
    <w:rsid w:val="6D7F6F59"/>
    <w:rsid w:val="6DB50D38"/>
    <w:rsid w:val="6DC407E6"/>
    <w:rsid w:val="6DDD0816"/>
    <w:rsid w:val="6DEF4DC6"/>
    <w:rsid w:val="6E2A4F03"/>
    <w:rsid w:val="6E6B7956"/>
    <w:rsid w:val="6EB208CE"/>
    <w:rsid w:val="6EE13322"/>
    <w:rsid w:val="6F2E085C"/>
    <w:rsid w:val="6F3D08D5"/>
    <w:rsid w:val="6F5025C9"/>
    <w:rsid w:val="6F8A303C"/>
    <w:rsid w:val="705F34E0"/>
    <w:rsid w:val="70993AA7"/>
    <w:rsid w:val="70A5176C"/>
    <w:rsid w:val="70F70F78"/>
    <w:rsid w:val="71136E95"/>
    <w:rsid w:val="71160FCD"/>
    <w:rsid w:val="71275730"/>
    <w:rsid w:val="71410888"/>
    <w:rsid w:val="71421726"/>
    <w:rsid w:val="7151282D"/>
    <w:rsid w:val="71853E83"/>
    <w:rsid w:val="71960AB8"/>
    <w:rsid w:val="71B911D5"/>
    <w:rsid w:val="720429CC"/>
    <w:rsid w:val="7204381F"/>
    <w:rsid w:val="72500A54"/>
    <w:rsid w:val="72C92E53"/>
    <w:rsid w:val="731753AD"/>
    <w:rsid w:val="734258F5"/>
    <w:rsid w:val="738D6B14"/>
    <w:rsid w:val="73987463"/>
    <w:rsid w:val="73CD639B"/>
    <w:rsid w:val="73EE11C4"/>
    <w:rsid w:val="73FB6D30"/>
    <w:rsid w:val="73FD7C02"/>
    <w:rsid w:val="74011D9B"/>
    <w:rsid w:val="741E6AAB"/>
    <w:rsid w:val="74537E22"/>
    <w:rsid w:val="748773BC"/>
    <w:rsid w:val="74BB0B0F"/>
    <w:rsid w:val="756B7A21"/>
    <w:rsid w:val="757933E5"/>
    <w:rsid w:val="75973655"/>
    <w:rsid w:val="75EA62BA"/>
    <w:rsid w:val="763D5A07"/>
    <w:rsid w:val="766E6F72"/>
    <w:rsid w:val="76864E0B"/>
    <w:rsid w:val="76960703"/>
    <w:rsid w:val="76BB2CC6"/>
    <w:rsid w:val="772B124E"/>
    <w:rsid w:val="77350177"/>
    <w:rsid w:val="773568FA"/>
    <w:rsid w:val="77F77192"/>
    <w:rsid w:val="7857753B"/>
    <w:rsid w:val="78F745A5"/>
    <w:rsid w:val="793D03AB"/>
    <w:rsid w:val="79651385"/>
    <w:rsid w:val="79A04295"/>
    <w:rsid w:val="79C24E5C"/>
    <w:rsid w:val="7A0C3FFA"/>
    <w:rsid w:val="7A342A90"/>
    <w:rsid w:val="7A6D3D11"/>
    <w:rsid w:val="7A8D0EBD"/>
    <w:rsid w:val="7B3A1F6B"/>
    <w:rsid w:val="7B643466"/>
    <w:rsid w:val="7B877A63"/>
    <w:rsid w:val="7C1461DC"/>
    <w:rsid w:val="7C17374E"/>
    <w:rsid w:val="7C1F0453"/>
    <w:rsid w:val="7C214BB4"/>
    <w:rsid w:val="7C62777A"/>
    <w:rsid w:val="7C8E794B"/>
    <w:rsid w:val="7D040099"/>
    <w:rsid w:val="7D5A592C"/>
    <w:rsid w:val="7D5E676F"/>
    <w:rsid w:val="7DD96484"/>
    <w:rsid w:val="7DF11555"/>
    <w:rsid w:val="7E12666D"/>
    <w:rsid w:val="7E7E271D"/>
    <w:rsid w:val="7EA70A12"/>
    <w:rsid w:val="7EAD4B41"/>
    <w:rsid w:val="7EC300BC"/>
    <w:rsid w:val="7EF20360"/>
    <w:rsid w:val="7EF71430"/>
    <w:rsid w:val="7F000B22"/>
    <w:rsid w:val="7F02599E"/>
    <w:rsid w:val="7F14105C"/>
    <w:rsid w:val="7F2B7F35"/>
    <w:rsid w:val="7F9B065D"/>
    <w:rsid w:val="7FB81A6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qFormat="1"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qFormat="1" w:unhideWhenUsed="0" w:uiPriority="0" w:semiHidden="0" w:name="List Bullet"/>
    <w:lsdException w:qFormat="1"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qFormat="1" w:unhideWhenUsed="0" w:uiPriority="99"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link w:val="58"/>
    <w:qFormat/>
    <w:uiPriority w:val="0"/>
    <w:pPr>
      <w:keepNext/>
      <w:keepLines/>
      <w:spacing w:before="340" w:after="330" w:line="576" w:lineRule="auto"/>
      <w:outlineLvl w:val="0"/>
    </w:pPr>
    <w:rPr>
      <w:b/>
      <w:bCs/>
      <w:kern w:val="44"/>
      <w:sz w:val="44"/>
      <w:szCs w:val="44"/>
    </w:rPr>
  </w:style>
  <w:style w:type="paragraph" w:styleId="4">
    <w:name w:val="heading 2"/>
    <w:basedOn w:val="1"/>
    <w:next w:val="1"/>
    <w:link w:val="59"/>
    <w:qFormat/>
    <w:uiPriority w:val="0"/>
    <w:pPr>
      <w:keepNext/>
      <w:keepLines/>
      <w:spacing w:before="260" w:after="260" w:line="413" w:lineRule="auto"/>
      <w:outlineLvl w:val="1"/>
    </w:pPr>
    <w:rPr>
      <w:rFonts w:ascii="Arial" w:hAnsi="Arial" w:eastAsia="黑体" w:cs="Arial"/>
      <w:b/>
      <w:bCs/>
      <w:sz w:val="32"/>
      <w:szCs w:val="32"/>
    </w:rPr>
  </w:style>
  <w:style w:type="paragraph" w:styleId="5">
    <w:name w:val="heading 3"/>
    <w:basedOn w:val="1"/>
    <w:next w:val="1"/>
    <w:link w:val="61"/>
    <w:qFormat/>
    <w:uiPriority w:val="0"/>
    <w:pPr>
      <w:keepNext/>
      <w:keepLines/>
      <w:spacing w:before="260" w:after="260" w:line="413" w:lineRule="auto"/>
      <w:outlineLvl w:val="2"/>
    </w:pPr>
    <w:rPr>
      <w:b/>
      <w:bCs/>
      <w:sz w:val="32"/>
      <w:szCs w:val="32"/>
    </w:rPr>
  </w:style>
  <w:style w:type="paragraph" w:styleId="6">
    <w:name w:val="heading 4"/>
    <w:basedOn w:val="1"/>
    <w:next w:val="1"/>
    <w:link w:val="215"/>
    <w:qFormat/>
    <w:uiPriority w:val="0"/>
    <w:pPr>
      <w:keepNext/>
      <w:keepLines/>
      <w:spacing w:before="280" w:after="290" w:line="372" w:lineRule="auto"/>
      <w:outlineLvl w:val="3"/>
    </w:pPr>
    <w:rPr>
      <w:rFonts w:ascii="Arial" w:hAnsi="Arial" w:cs="Arial"/>
      <w:sz w:val="28"/>
      <w:szCs w:val="28"/>
    </w:rPr>
  </w:style>
  <w:style w:type="paragraph" w:styleId="7">
    <w:name w:val="heading 5"/>
    <w:basedOn w:val="1"/>
    <w:next w:val="1"/>
    <w:link w:val="63"/>
    <w:qFormat/>
    <w:uiPriority w:val="0"/>
    <w:pPr>
      <w:tabs>
        <w:tab w:val="left" w:pos="1008"/>
      </w:tabs>
      <w:spacing w:before="60" w:after="60" w:line="240" w:lineRule="atLeast"/>
      <w:ind w:left="1008" w:hanging="1008"/>
      <w:outlineLvl w:val="4"/>
    </w:pPr>
    <w:rPr>
      <w:rFonts w:ascii="Arial" w:hAnsi="Arial" w:eastAsia="黑体"/>
      <w:b/>
      <w:sz w:val="24"/>
      <w:szCs w:val="20"/>
    </w:rPr>
  </w:style>
  <w:style w:type="paragraph" w:styleId="8">
    <w:name w:val="heading 6"/>
    <w:basedOn w:val="1"/>
    <w:next w:val="1"/>
    <w:link w:val="64"/>
    <w:qFormat/>
    <w:uiPriority w:val="0"/>
    <w:pPr>
      <w:keepNext/>
      <w:keepLines/>
      <w:spacing w:before="240" w:after="64" w:line="317" w:lineRule="auto"/>
      <w:outlineLvl w:val="5"/>
    </w:pPr>
    <w:rPr>
      <w:rFonts w:ascii="Arial" w:hAnsi="Arial" w:eastAsia="黑体" w:cs="Arial"/>
      <w:b/>
      <w:bCs/>
      <w:sz w:val="24"/>
      <w:szCs w:val="24"/>
    </w:rPr>
  </w:style>
  <w:style w:type="paragraph" w:styleId="9">
    <w:name w:val="heading 7"/>
    <w:basedOn w:val="1"/>
    <w:next w:val="1"/>
    <w:link w:val="65"/>
    <w:qFormat/>
    <w:uiPriority w:val="0"/>
    <w:pPr>
      <w:keepNext/>
      <w:keepLines/>
      <w:tabs>
        <w:tab w:val="left" w:pos="1296"/>
      </w:tabs>
      <w:spacing w:before="240" w:after="64" w:line="320" w:lineRule="auto"/>
      <w:ind w:left="1296" w:hanging="1296"/>
      <w:outlineLvl w:val="6"/>
    </w:pPr>
    <w:rPr>
      <w:b/>
      <w:bCs/>
      <w:sz w:val="24"/>
      <w:szCs w:val="24"/>
    </w:rPr>
  </w:style>
  <w:style w:type="paragraph" w:styleId="10">
    <w:name w:val="heading 8"/>
    <w:basedOn w:val="1"/>
    <w:next w:val="1"/>
    <w:link w:val="66"/>
    <w:qFormat/>
    <w:uiPriority w:val="0"/>
    <w:pPr>
      <w:keepNext/>
      <w:keepLines/>
      <w:spacing w:before="240" w:after="64" w:line="320" w:lineRule="auto"/>
      <w:outlineLvl w:val="7"/>
    </w:pPr>
    <w:rPr>
      <w:rFonts w:ascii="等线 Light" w:hAnsi="等线 Light" w:eastAsia="等线 Light"/>
      <w:sz w:val="24"/>
      <w:szCs w:val="24"/>
    </w:rPr>
  </w:style>
  <w:style w:type="paragraph" w:styleId="11">
    <w:name w:val="heading 9"/>
    <w:basedOn w:val="1"/>
    <w:next w:val="1"/>
    <w:link w:val="67"/>
    <w:qFormat/>
    <w:uiPriority w:val="0"/>
    <w:pPr>
      <w:keepNext/>
      <w:keepLines/>
      <w:tabs>
        <w:tab w:val="left" w:pos="1584"/>
      </w:tabs>
      <w:spacing w:before="240" w:after="64" w:line="320" w:lineRule="auto"/>
      <w:ind w:left="1584" w:hanging="1584"/>
      <w:outlineLvl w:val="8"/>
    </w:pPr>
    <w:rPr>
      <w:rFonts w:ascii="Arial" w:hAnsi="Arial" w:eastAsia="黑体"/>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57"/>
    <w:qFormat/>
    <w:uiPriority w:val="0"/>
    <w:pPr>
      <w:spacing w:after="120"/>
    </w:pPr>
  </w:style>
  <w:style w:type="paragraph" w:styleId="12">
    <w:name w:val="table of authorities"/>
    <w:basedOn w:val="1"/>
    <w:next w:val="1"/>
    <w:qFormat/>
    <w:uiPriority w:val="0"/>
    <w:pPr>
      <w:ind w:left="420" w:leftChars="200"/>
    </w:pPr>
  </w:style>
  <w:style w:type="paragraph" w:styleId="13">
    <w:name w:val="index 8"/>
    <w:basedOn w:val="1"/>
    <w:next w:val="1"/>
    <w:qFormat/>
    <w:uiPriority w:val="0"/>
    <w:pPr>
      <w:ind w:left="2940"/>
    </w:pPr>
  </w:style>
  <w:style w:type="paragraph" w:styleId="14">
    <w:name w:val="List Number"/>
    <w:basedOn w:val="1"/>
    <w:qFormat/>
    <w:uiPriority w:val="0"/>
    <w:pPr>
      <w:numPr>
        <w:ilvl w:val="0"/>
        <w:numId w:val="1"/>
      </w:numPr>
    </w:pPr>
  </w:style>
  <w:style w:type="paragraph" w:styleId="15">
    <w:name w:val="Normal Indent"/>
    <w:basedOn w:val="1"/>
    <w:next w:val="1"/>
    <w:link w:val="60"/>
    <w:qFormat/>
    <w:uiPriority w:val="0"/>
    <w:pPr>
      <w:ind w:firstLine="420"/>
    </w:pPr>
  </w:style>
  <w:style w:type="paragraph" w:styleId="16">
    <w:name w:val="caption"/>
    <w:basedOn w:val="1"/>
    <w:next w:val="1"/>
    <w:qFormat/>
    <w:uiPriority w:val="0"/>
    <w:pPr>
      <w:widowControl/>
      <w:jc w:val="left"/>
    </w:pPr>
    <w:rPr>
      <w:rFonts w:ascii="Arial" w:hAnsi="Arial" w:eastAsia="黑体" w:cs="Arial"/>
      <w:kern w:val="0"/>
      <w:sz w:val="20"/>
      <w:szCs w:val="20"/>
    </w:rPr>
  </w:style>
  <w:style w:type="paragraph" w:styleId="17">
    <w:name w:val="List Bullet"/>
    <w:basedOn w:val="1"/>
    <w:qFormat/>
    <w:uiPriority w:val="0"/>
    <w:pPr>
      <w:tabs>
        <w:tab w:val="left" w:pos="420"/>
      </w:tabs>
      <w:ind w:left="420" w:hanging="420"/>
    </w:pPr>
    <w:rPr>
      <w:szCs w:val="24"/>
    </w:rPr>
  </w:style>
  <w:style w:type="paragraph" w:styleId="18">
    <w:name w:val="Document Map"/>
    <w:basedOn w:val="1"/>
    <w:link w:val="68"/>
    <w:qFormat/>
    <w:uiPriority w:val="0"/>
    <w:pPr>
      <w:shd w:val="clear" w:color="auto" w:fill="000080"/>
    </w:pPr>
    <w:rPr>
      <w:szCs w:val="24"/>
    </w:rPr>
  </w:style>
  <w:style w:type="paragraph" w:styleId="19">
    <w:name w:val="annotation text"/>
    <w:basedOn w:val="1"/>
    <w:link w:val="69"/>
    <w:qFormat/>
    <w:uiPriority w:val="0"/>
    <w:pPr>
      <w:jc w:val="left"/>
    </w:pPr>
  </w:style>
  <w:style w:type="paragraph" w:styleId="20">
    <w:name w:val="Body Text 3"/>
    <w:basedOn w:val="1"/>
    <w:link w:val="70"/>
    <w:qFormat/>
    <w:uiPriority w:val="0"/>
    <w:pPr>
      <w:spacing w:after="120"/>
    </w:pPr>
    <w:rPr>
      <w:sz w:val="16"/>
      <w:szCs w:val="16"/>
    </w:rPr>
  </w:style>
  <w:style w:type="paragraph" w:styleId="21">
    <w:name w:val="Body Text Indent"/>
    <w:basedOn w:val="1"/>
    <w:next w:val="22"/>
    <w:qFormat/>
    <w:uiPriority w:val="0"/>
    <w:pPr>
      <w:ind w:left="420" w:leftChars="200"/>
    </w:pPr>
  </w:style>
  <w:style w:type="paragraph" w:styleId="22">
    <w:name w:val="Body Text First Indent 2"/>
    <w:basedOn w:val="21"/>
    <w:next w:val="15"/>
    <w:qFormat/>
    <w:uiPriority w:val="0"/>
    <w:pPr>
      <w:ind w:firstLine="420" w:firstLineChars="200"/>
    </w:pPr>
    <w:rPr>
      <w:rFonts w:ascii="Calibri" w:hAnsi="Calibri"/>
      <w:szCs w:val="24"/>
    </w:rPr>
  </w:style>
  <w:style w:type="paragraph" w:styleId="23">
    <w:name w:val="Block Text"/>
    <w:basedOn w:val="1"/>
    <w:qFormat/>
    <w:uiPriority w:val="0"/>
    <w:pPr>
      <w:spacing w:line="312" w:lineRule="auto"/>
      <w:ind w:left="785" w:right="180" w:firstLine="420"/>
    </w:pPr>
    <w:rPr>
      <w:rFonts w:hAnsi="宋体"/>
      <w:color w:val="FF0000"/>
      <w:sz w:val="20"/>
      <w:szCs w:val="20"/>
    </w:rPr>
  </w:style>
  <w:style w:type="paragraph" w:styleId="24">
    <w:name w:val="toc 3"/>
    <w:basedOn w:val="1"/>
    <w:next w:val="1"/>
    <w:qFormat/>
    <w:uiPriority w:val="0"/>
    <w:pPr>
      <w:ind w:left="420"/>
      <w:jc w:val="left"/>
    </w:pPr>
    <w:rPr>
      <w:i/>
      <w:iCs/>
      <w:sz w:val="20"/>
      <w:szCs w:val="20"/>
    </w:rPr>
  </w:style>
  <w:style w:type="paragraph" w:styleId="25">
    <w:name w:val="Plain Text"/>
    <w:basedOn w:val="1"/>
    <w:next w:val="13"/>
    <w:link w:val="71"/>
    <w:qFormat/>
    <w:uiPriority w:val="0"/>
    <w:rPr>
      <w:rFonts w:ascii="宋体" w:hAnsi="Courier New" w:eastAsia="等线" w:cs="宋体"/>
    </w:rPr>
  </w:style>
  <w:style w:type="paragraph" w:styleId="26">
    <w:name w:val="Date"/>
    <w:basedOn w:val="1"/>
    <w:next w:val="1"/>
    <w:link w:val="72"/>
    <w:qFormat/>
    <w:uiPriority w:val="0"/>
    <w:pPr>
      <w:ind w:left="100" w:leftChars="2500"/>
    </w:pPr>
  </w:style>
  <w:style w:type="paragraph" w:styleId="27">
    <w:name w:val="Body Text Indent 2"/>
    <w:basedOn w:val="1"/>
    <w:link w:val="73"/>
    <w:qFormat/>
    <w:uiPriority w:val="0"/>
    <w:pPr>
      <w:spacing w:after="120" w:line="480" w:lineRule="auto"/>
      <w:ind w:left="420" w:leftChars="200"/>
    </w:pPr>
    <w:rPr>
      <w:rFonts w:ascii="等线" w:hAnsi="等线" w:eastAsia="等线"/>
      <w:sz w:val="24"/>
      <w:szCs w:val="24"/>
    </w:rPr>
  </w:style>
  <w:style w:type="paragraph" w:styleId="28">
    <w:name w:val="Balloon Text"/>
    <w:basedOn w:val="1"/>
    <w:link w:val="74"/>
    <w:qFormat/>
    <w:uiPriority w:val="0"/>
    <w:rPr>
      <w:sz w:val="18"/>
      <w:szCs w:val="18"/>
    </w:rPr>
  </w:style>
  <w:style w:type="paragraph" w:styleId="29">
    <w:name w:val="footer"/>
    <w:basedOn w:val="1"/>
    <w:link w:val="75"/>
    <w:qFormat/>
    <w:uiPriority w:val="0"/>
    <w:pPr>
      <w:tabs>
        <w:tab w:val="center" w:pos="4153"/>
        <w:tab w:val="right" w:pos="8306"/>
      </w:tabs>
      <w:snapToGrid w:val="0"/>
      <w:jc w:val="left"/>
    </w:pPr>
    <w:rPr>
      <w:sz w:val="18"/>
      <w:szCs w:val="18"/>
    </w:rPr>
  </w:style>
  <w:style w:type="paragraph" w:styleId="30">
    <w:name w:val="envelope return"/>
    <w:basedOn w:val="1"/>
    <w:qFormat/>
    <w:uiPriority w:val="0"/>
    <w:pPr>
      <w:snapToGrid w:val="0"/>
    </w:pPr>
    <w:rPr>
      <w:rFonts w:ascii="Arial" w:hAnsi="Arial"/>
    </w:rPr>
  </w:style>
  <w:style w:type="paragraph" w:styleId="31">
    <w:name w:val="header"/>
    <w:basedOn w:val="1"/>
    <w:link w:val="76"/>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uiPriority w:val="0"/>
    <w:pPr>
      <w:spacing w:before="120" w:after="120"/>
      <w:jc w:val="left"/>
    </w:pPr>
    <w:rPr>
      <w:b/>
      <w:bCs/>
      <w:caps/>
      <w:sz w:val="20"/>
      <w:szCs w:val="20"/>
    </w:rPr>
  </w:style>
  <w:style w:type="paragraph" w:styleId="33">
    <w:name w:val="toc 4"/>
    <w:basedOn w:val="1"/>
    <w:next w:val="1"/>
    <w:qFormat/>
    <w:uiPriority w:val="0"/>
    <w:pPr>
      <w:ind w:left="630"/>
      <w:jc w:val="left"/>
    </w:pPr>
    <w:rPr>
      <w:sz w:val="18"/>
      <w:szCs w:val="18"/>
    </w:rPr>
  </w:style>
  <w:style w:type="paragraph" w:styleId="34">
    <w:name w:val="Body Text Indent 3"/>
    <w:basedOn w:val="1"/>
    <w:link w:val="77"/>
    <w:qFormat/>
    <w:uiPriority w:val="0"/>
    <w:pPr>
      <w:spacing w:after="120"/>
      <w:ind w:left="420" w:leftChars="200"/>
    </w:pPr>
    <w:rPr>
      <w:sz w:val="16"/>
      <w:szCs w:val="16"/>
    </w:rPr>
  </w:style>
  <w:style w:type="paragraph" w:styleId="35">
    <w:name w:val="toc 2"/>
    <w:basedOn w:val="1"/>
    <w:next w:val="1"/>
    <w:qFormat/>
    <w:uiPriority w:val="0"/>
    <w:pPr>
      <w:ind w:left="210"/>
      <w:jc w:val="left"/>
    </w:pPr>
    <w:rPr>
      <w:smallCaps/>
      <w:sz w:val="20"/>
      <w:szCs w:val="20"/>
    </w:rPr>
  </w:style>
  <w:style w:type="paragraph" w:styleId="36">
    <w:name w:val="Body Text 2"/>
    <w:basedOn w:val="1"/>
    <w:link w:val="78"/>
    <w:qFormat/>
    <w:uiPriority w:val="0"/>
    <w:pPr>
      <w:spacing w:after="120" w:line="480" w:lineRule="auto"/>
    </w:pPr>
    <w:rPr>
      <w:szCs w:val="24"/>
    </w:rPr>
  </w:style>
  <w:style w:type="paragraph" w:styleId="37">
    <w:name w:val="Message Header"/>
    <w:basedOn w:val="1"/>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sz w:val="24"/>
    </w:rPr>
  </w:style>
  <w:style w:type="paragraph" w:styleId="38">
    <w:name w:val="Normal (Web)"/>
    <w:basedOn w:val="1"/>
    <w:qFormat/>
    <w:uiPriority w:val="0"/>
    <w:pPr>
      <w:widowControl/>
      <w:spacing w:before="100" w:beforeAutospacing="1" w:after="100" w:afterAutospacing="1"/>
      <w:jc w:val="left"/>
    </w:pPr>
    <w:rPr>
      <w:rFonts w:ascii="Arial Unicode MS" w:hAnsi="Arial Unicode MS" w:eastAsia="Arial Unicode MS" w:cs="Arial Unicode MS"/>
      <w:kern w:val="0"/>
      <w:sz w:val="24"/>
      <w:szCs w:val="24"/>
    </w:rPr>
  </w:style>
  <w:style w:type="paragraph" w:styleId="39">
    <w:name w:val="Title"/>
    <w:basedOn w:val="1"/>
    <w:next w:val="1"/>
    <w:link w:val="79"/>
    <w:qFormat/>
    <w:uiPriority w:val="0"/>
    <w:pPr>
      <w:widowControl/>
      <w:spacing w:before="240" w:after="60"/>
      <w:jc w:val="center"/>
      <w:outlineLvl w:val="0"/>
    </w:pPr>
    <w:rPr>
      <w:rFonts w:ascii="Arial" w:hAnsi="Arial"/>
      <w:b/>
      <w:bCs/>
      <w:kern w:val="0"/>
      <w:sz w:val="32"/>
      <w:szCs w:val="32"/>
    </w:rPr>
  </w:style>
  <w:style w:type="paragraph" w:styleId="40">
    <w:name w:val="annotation subject"/>
    <w:basedOn w:val="19"/>
    <w:next w:val="19"/>
    <w:link w:val="80"/>
    <w:qFormat/>
    <w:uiPriority w:val="0"/>
    <w:rPr>
      <w:b/>
      <w:bCs/>
    </w:rPr>
  </w:style>
  <w:style w:type="paragraph" w:styleId="41">
    <w:name w:val="Body Text First Indent"/>
    <w:basedOn w:val="2"/>
    <w:next w:val="22"/>
    <w:link w:val="81"/>
    <w:qFormat/>
    <w:uiPriority w:val="0"/>
    <w:pPr>
      <w:ind w:firstLine="420" w:firstLineChars="100"/>
    </w:p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5">
    <w:name w:val="Strong"/>
    <w:basedOn w:val="44"/>
    <w:qFormat/>
    <w:uiPriority w:val="0"/>
    <w:rPr>
      <w:rFonts w:ascii="Times New Roman" w:hAnsi="Times New Roman" w:eastAsia="宋体" w:cs="Times New Roman"/>
      <w:b/>
      <w:bCs/>
    </w:rPr>
  </w:style>
  <w:style w:type="character" w:styleId="46">
    <w:name w:val="page number"/>
    <w:basedOn w:val="44"/>
    <w:qFormat/>
    <w:uiPriority w:val="0"/>
    <w:rPr>
      <w:rFonts w:ascii="Times New Roman" w:hAnsi="Times New Roman" w:eastAsia="宋体" w:cs="Times New Roman"/>
    </w:rPr>
  </w:style>
  <w:style w:type="character" w:styleId="47">
    <w:name w:val="Emphasis"/>
    <w:basedOn w:val="44"/>
    <w:qFormat/>
    <w:uiPriority w:val="0"/>
    <w:rPr>
      <w:i/>
    </w:rPr>
  </w:style>
  <w:style w:type="character" w:styleId="48">
    <w:name w:val="Hyperlink"/>
    <w:qFormat/>
    <w:uiPriority w:val="0"/>
    <w:rPr>
      <w:rFonts w:ascii="Times New Roman" w:hAnsi="Times New Roman" w:eastAsia="宋体" w:cs="Times New Roman"/>
      <w:color w:val="0000FF"/>
      <w:u w:val="single"/>
    </w:rPr>
  </w:style>
  <w:style w:type="character" w:styleId="49">
    <w:name w:val="annotation reference"/>
    <w:qFormat/>
    <w:uiPriority w:val="0"/>
    <w:rPr>
      <w:rFonts w:ascii="Times New Roman" w:hAnsi="Times New Roman" w:eastAsia="宋体" w:cs="Times New Roman"/>
      <w:sz w:val="21"/>
      <w:szCs w:val="21"/>
    </w:rPr>
  </w:style>
  <w:style w:type="paragraph" w:customStyle="1" w:styleId="50">
    <w:name w:val="表格文字"/>
    <w:basedOn w:val="21"/>
    <w:qFormat/>
    <w:uiPriority w:val="0"/>
    <w:pPr>
      <w:jc w:val="left"/>
    </w:pPr>
    <w:rPr>
      <w:bCs/>
      <w:spacing w:val="10"/>
      <w:sz w:val="24"/>
    </w:rPr>
  </w:style>
  <w:style w:type="paragraph" w:customStyle="1" w:styleId="51">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2">
    <w:name w:val="目录 71"/>
    <w:next w:val="1"/>
    <w:qFormat/>
    <w:uiPriority w:val="0"/>
    <w:pPr>
      <w:wordWrap w:val="0"/>
      <w:ind w:left="2550"/>
      <w:jc w:val="both"/>
    </w:pPr>
    <w:rPr>
      <w:rFonts w:ascii="Times New Roman" w:hAnsi="Times New Roman" w:eastAsia="宋体" w:cs="Times New Roman"/>
      <w:kern w:val="2"/>
      <w:sz w:val="21"/>
      <w:szCs w:val="24"/>
      <w:lang w:val="en-US" w:eastAsia="zh-CN" w:bidi="ar-SA"/>
    </w:rPr>
  </w:style>
  <w:style w:type="paragraph" w:customStyle="1" w:styleId="53">
    <w:name w:val="Body Text First Indent 21"/>
    <w:basedOn w:val="54"/>
    <w:qFormat/>
    <w:uiPriority w:val="0"/>
    <w:pPr>
      <w:ind w:firstLine="420" w:firstLineChars="200"/>
    </w:pPr>
  </w:style>
  <w:style w:type="paragraph" w:customStyle="1" w:styleId="54">
    <w:name w:val="Body Text Indent1"/>
    <w:basedOn w:val="1"/>
    <w:qFormat/>
    <w:uiPriority w:val="0"/>
    <w:pPr>
      <w:spacing w:after="120"/>
      <w:ind w:left="420" w:leftChars="200"/>
    </w:pPr>
    <w:rPr>
      <w:rFonts w:ascii="楷体_GB2312" w:eastAsia="楷体_GB2312"/>
      <w:sz w:val="28"/>
    </w:rPr>
  </w:style>
  <w:style w:type="paragraph" w:customStyle="1" w:styleId="55">
    <w:name w:val="BodyText"/>
    <w:basedOn w:val="1"/>
    <w:qFormat/>
    <w:uiPriority w:val="0"/>
    <w:pPr>
      <w:spacing w:line="380" w:lineRule="exact"/>
    </w:pPr>
    <w:rPr>
      <w:sz w:val="24"/>
    </w:rPr>
  </w:style>
  <w:style w:type="character" w:customStyle="1" w:styleId="56">
    <w:name w:val="正文文本缩进 字符"/>
    <w:qFormat/>
    <w:uiPriority w:val="0"/>
    <w:rPr>
      <w:rFonts w:ascii="Times New Roman" w:hAnsi="Times New Roman" w:eastAsia="宋体" w:cs="Times New Roman"/>
      <w:szCs w:val="21"/>
    </w:rPr>
  </w:style>
  <w:style w:type="character" w:customStyle="1" w:styleId="57">
    <w:name w:val="正文文本 字符"/>
    <w:link w:val="2"/>
    <w:qFormat/>
    <w:uiPriority w:val="0"/>
    <w:rPr>
      <w:rFonts w:ascii="Times New Roman" w:hAnsi="Times New Roman" w:eastAsia="宋体" w:cs="Times New Roman"/>
      <w:szCs w:val="21"/>
    </w:rPr>
  </w:style>
  <w:style w:type="character" w:customStyle="1" w:styleId="58">
    <w:name w:val="标题 1 字符"/>
    <w:link w:val="3"/>
    <w:qFormat/>
    <w:uiPriority w:val="0"/>
    <w:rPr>
      <w:rFonts w:ascii="Times New Roman" w:hAnsi="Times New Roman" w:eastAsia="宋体" w:cs="Times New Roman"/>
      <w:b/>
      <w:bCs/>
      <w:kern w:val="44"/>
      <w:sz w:val="44"/>
      <w:szCs w:val="44"/>
    </w:rPr>
  </w:style>
  <w:style w:type="character" w:customStyle="1" w:styleId="59">
    <w:name w:val="标题 2 字符"/>
    <w:link w:val="4"/>
    <w:qFormat/>
    <w:uiPriority w:val="0"/>
    <w:rPr>
      <w:rFonts w:ascii="Arial" w:hAnsi="Arial" w:eastAsia="黑体" w:cs="Arial"/>
      <w:b/>
      <w:bCs/>
      <w:sz w:val="32"/>
      <w:szCs w:val="32"/>
    </w:rPr>
  </w:style>
  <w:style w:type="character" w:customStyle="1" w:styleId="60">
    <w:name w:val="正文缩进 字符1"/>
    <w:link w:val="15"/>
    <w:qFormat/>
    <w:uiPriority w:val="0"/>
    <w:rPr>
      <w:rFonts w:ascii="Times New Roman" w:hAnsi="Times New Roman" w:eastAsia="宋体" w:cs="Times New Roman"/>
      <w:szCs w:val="21"/>
    </w:rPr>
  </w:style>
  <w:style w:type="character" w:customStyle="1" w:styleId="61">
    <w:name w:val="标题 3 字符"/>
    <w:link w:val="5"/>
    <w:qFormat/>
    <w:uiPriority w:val="0"/>
    <w:rPr>
      <w:rFonts w:ascii="Times New Roman" w:hAnsi="Times New Roman" w:eastAsia="宋体" w:cs="Times New Roman"/>
      <w:b/>
      <w:bCs/>
      <w:sz w:val="32"/>
      <w:szCs w:val="32"/>
    </w:rPr>
  </w:style>
  <w:style w:type="character" w:customStyle="1" w:styleId="62">
    <w:name w:val="标题 4 字符"/>
    <w:link w:val="6"/>
    <w:qFormat/>
    <w:uiPriority w:val="0"/>
    <w:rPr>
      <w:rFonts w:ascii="Arial" w:hAnsi="Arial" w:eastAsia="宋体" w:cs="Arial"/>
      <w:sz w:val="28"/>
      <w:szCs w:val="28"/>
    </w:rPr>
  </w:style>
  <w:style w:type="character" w:customStyle="1" w:styleId="63">
    <w:name w:val="标题 5 字符"/>
    <w:link w:val="7"/>
    <w:qFormat/>
    <w:uiPriority w:val="0"/>
    <w:rPr>
      <w:rFonts w:ascii="Arial" w:hAnsi="Arial" w:eastAsia="黑体" w:cs="Times New Roman"/>
      <w:b/>
      <w:sz w:val="24"/>
      <w:szCs w:val="20"/>
    </w:rPr>
  </w:style>
  <w:style w:type="character" w:customStyle="1" w:styleId="64">
    <w:name w:val="标题 6 字符"/>
    <w:link w:val="8"/>
    <w:qFormat/>
    <w:uiPriority w:val="0"/>
    <w:rPr>
      <w:rFonts w:ascii="Arial" w:hAnsi="Arial" w:eastAsia="黑体" w:cs="Arial"/>
      <w:b/>
      <w:bCs/>
      <w:sz w:val="24"/>
      <w:szCs w:val="24"/>
    </w:rPr>
  </w:style>
  <w:style w:type="character" w:customStyle="1" w:styleId="65">
    <w:name w:val="标题 7 字符"/>
    <w:link w:val="9"/>
    <w:qFormat/>
    <w:uiPriority w:val="0"/>
    <w:rPr>
      <w:rFonts w:ascii="Times New Roman" w:hAnsi="Times New Roman" w:eastAsia="宋体" w:cs="Times New Roman"/>
      <w:b/>
      <w:bCs/>
      <w:sz w:val="24"/>
      <w:szCs w:val="24"/>
    </w:rPr>
  </w:style>
  <w:style w:type="character" w:customStyle="1" w:styleId="66">
    <w:name w:val="标题 8 字符"/>
    <w:link w:val="10"/>
    <w:qFormat/>
    <w:uiPriority w:val="0"/>
    <w:rPr>
      <w:rFonts w:ascii="等线 Light" w:hAnsi="等线 Light" w:eastAsia="等线 Light" w:cs="Times New Roman"/>
      <w:sz w:val="24"/>
      <w:szCs w:val="24"/>
    </w:rPr>
  </w:style>
  <w:style w:type="character" w:customStyle="1" w:styleId="67">
    <w:name w:val="标题 9 字符"/>
    <w:link w:val="11"/>
    <w:qFormat/>
    <w:uiPriority w:val="0"/>
    <w:rPr>
      <w:rFonts w:ascii="Arial" w:hAnsi="Arial" w:eastAsia="黑体" w:cs="Times New Roman"/>
      <w:szCs w:val="21"/>
    </w:rPr>
  </w:style>
  <w:style w:type="character" w:customStyle="1" w:styleId="68">
    <w:name w:val="文档结构图 字符"/>
    <w:link w:val="18"/>
    <w:qFormat/>
    <w:uiPriority w:val="0"/>
    <w:rPr>
      <w:rFonts w:ascii="Times New Roman" w:hAnsi="Times New Roman" w:eastAsia="宋体" w:cs="Times New Roman"/>
      <w:szCs w:val="24"/>
      <w:shd w:val="clear" w:color="auto" w:fill="000080"/>
    </w:rPr>
  </w:style>
  <w:style w:type="character" w:customStyle="1" w:styleId="69">
    <w:name w:val="批注文字 字符"/>
    <w:link w:val="19"/>
    <w:qFormat/>
    <w:uiPriority w:val="0"/>
    <w:rPr>
      <w:rFonts w:ascii="Times New Roman" w:hAnsi="Times New Roman" w:eastAsia="宋体" w:cs="Times New Roman"/>
      <w:szCs w:val="21"/>
    </w:rPr>
  </w:style>
  <w:style w:type="character" w:customStyle="1" w:styleId="70">
    <w:name w:val="正文文本 3 字符"/>
    <w:link w:val="20"/>
    <w:qFormat/>
    <w:uiPriority w:val="0"/>
    <w:rPr>
      <w:rFonts w:ascii="Times New Roman" w:hAnsi="Times New Roman" w:eastAsia="宋体" w:cs="Times New Roman"/>
      <w:sz w:val="16"/>
      <w:szCs w:val="16"/>
    </w:rPr>
  </w:style>
  <w:style w:type="character" w:customStyle="1" w:styleId="71">
    <w:name w:val="纯文本 字符"/>
    <w:link w:val="25"/>
    <w:qFormat/>
    <w:uiPriority w:val="0"/>
    <w:rPr>
      <w:rFonts w:ascii="宋体" w:hAnsi="Courier New" w:eastAsia="宋体" w:cs="宋体"/>
      <w:szCs w:val="21"/>
    </w:rPr>
  </w:style>
  <w:style w:type="character" w:customStyle="1" w:styleId="72">
    <w:name w:val="日期 字符"/>
    <w:link w:val="26"/>
    <w:qFormat/>
    <w:uiPriority w:val="0"/>
    <w:rPr>
      <w:rFonts w:ascii="Times New Roman" w:hAnsi="Times New Roman" w:eastAsia="宋体" w:cs="Times New Roman"/>
      <w:szCs w:val="21"/>
    </w:rPr>
  </w:style>
  <w:style w:type="character" w:customStyle="1" w:styleId="73">
    <w:name w:val="正文文本缩进 2 字符"/>
    <w:link w:val="27"/>
    <w:qFormat/>
    <w:uiPriority w:val="0"/>
    <w:rPr>
      <w:rFonts w:ascii="Times New Roman" w:hAnsi="Times New Roman" w:eastAsia="宋体" w:cs="Times New Roman"/>
      <w:sz w:val="24"/>
      <w:szCs w:val="24"/>
    </w:rPr>
  </w:style>
  <w:style w:type="character" w:customStyle="1" w:styleId="74">
    <w:name w:val="批注框文本 字符"/>
    <w:link w:val="28"/>
    <w:qFormat/>
    <w:uiPriority w:val="0"/>
    <w:rPr>
      <w:rFonts w:ascii="Times New Roman" w:hAnsi="Times New Roman" w:eastAsia="宋体" w:cs="Times New Roman"/>
      <w:sz w:val="18"/>
      <w:szCs w:val="18"/>
    </w:rPr>
  </w:style>
  <w:style w:type="character" w:customStyle="1" w:styleId="75">
    <w:name w:val="页脚 字符"/>
    <w:link w:val="29"/>
    <w:qFormat/>
    <w:uiPriority w:val="0"/>
    <w:rPr>
      <w:rFonts w:ascii="Times New Roman" w:hAnsi="Times New Roman" w:eastAsia="宋体" w:cs="Times New Roman"/>
      <w:sz w:val="18"/>
      <w:szCs w:val="18"/>
    </w:rPr>
  </w:style>
  <w:style w:type="character" w:customStyle="1" w:styleId="76">
    <w:name w:val="页眉 字符"/>
    <w:link w:val="31"/>
    <w:qFormat/>
    <w:uiPriority w:val="0"/>
    <w:rPr>
      <w:rFonts w:ascii="Times New Roman" w:hAnsi="Times New Roman" w:eastAsia="宋体" w:cs="Times New Roman"/>
      <w:sz w:val="18"/>
      <w:szCs w:val="18"/>
    </w:rPr>
  </w:style>
  <w:style w:type="character" w:customStyle="1" w:styleId="77">
    <w:name w:val="正文文本缩进 3 字符"/>
    <w:link w:val="34"/>
    <w:qFormat/>
    <w:uiPriority w:val="0"/>
    <w:rPr>
      <w:rFonts w:ascii="Times New Roman" w:hAnsi="Times New Roman" w:eastAsia="宋体" w:cs="Times New Roman"/>
      <w:sz w:val="16"/>
      <w:szCs w:val="16"/>
    </w:rPr>
  </w:style>
  <w:style w:type="character" w:customStyle="1" w:styleId="78">
    <w:name w:val="正文文本 2 字符"/>
    <w:link w:val="36"/>
    <w:qFormat/>
    <w:uiPriority w:val="0"/>
    <w:rPr>
      <w:rFonts w:ascii="Times New Roman" w:hAnsi="Times New Roman" w:eastAsia="宋体" w:cs="Times New Roman"/>
      <w:szCs w:val="24"/>
    </w:rPr>
  </w:style>
  <w:style w:type="character" w:customStyle="1" w:styleId="79">
    <w:name w:val="标题 字符"/>
    <w:link w:val="39"/>
    <w:qFormat/>
    <w:uiPriority w:val="0"/>
    <w:rPr>
      <w:rFonts w:ascii="Arial" w:hAnsi="Arial" w:eastAsia="宋体" w:cs="Times New Roman"/>
      <w:b/>
      <w:bCs/>
      <w:kern w:val="0"/>
      <w:sz w:val="32"/>
      <w:szCs w:val="32"/>
    </w:rPr>
  </w:style>
  <w:style w:type="character" w:customStyle="1" w:styleId="80">
    <w:name w:val="批注主题 字符"/>
    <w:link w:val="40"/>
    <w:qFormat/>
    <w:uiPriority w:val="0"/>
    <w:rPr>
      <w:rFonts w:ascii="Times New Roman" w:hAnsi="Times New Roman" w:eastAsia="宋体" w:cs="Times New Roman"/>
      <w:b/>
      <w:bCs/>
      <w:szCs w:val="21"/>
    </w:rPr>
  </w:style>
  <w:style w:type="character" w:customStyle="1" w:styleId="81">
    <w:name w:val="正文首行缩进 字符"/>
    <w:link w:val="41"/>
    <w:qFormat/>
    <w:uiPriority w:val="0"/>
    <w:rPr>
      <w:rFonts w:ascii="Times New Roman" w:hAnsi="Times New Roman" w:eastAsia="宋体" w:cs="Times New Roman"/>
      <w:szCs w:val="21"/>
    </w:rPr>
  </w:style>
  <w:style w:type="character" w:customStyle="1" w:styleId="82">
    <w:name w:val="正文缩进 字符"/>
    <w:qFormat/>
    <w:uiPriority w:val="0"/>
    <w:rPr>
      <w:rFonts w:ascii="Times New Roman" w:hAnsi="Times New Roman" w:eastAsia="宋体" w:cs="Times New Roman"/>
      <w:kern w:val="2"/>
      <w:sz w:val="21"/>
      <w:szCs w:val="21"/>
    </w:rPr>
  </w:style>
  <w:style w:type="character" w:customStyle="1" w:styleId="83">
    <w:name w:val="正文缩进 Char1"/>
    <w:qFormat/>
    <w:uiPriority w:val="0"/>
    <w:rPr>
      <w:rFonts w:ascii="Times New Roman" w:hAnsi="Times New Roman" w:eastAsia="宋体" w:cs="Times New Roman"/>
      <w:szCs w:val="24"/>
    </w:rPr>
  </w:style>
  <w:style w:type="character" w:customStyle="1" w:styleId="84">
    <w:name w:val="font51"/>
    <w:basedOn w:val="44"/>
    <w:qFormat/>
    <w:uiPriority w:val="0"/>
    <w:rPr>
      <w:rFonts w:hint="eastAsia" w:ascii="宋体" w:hAnsi="宋体" w:eastAsia="宋体" w:cs="宋体"/>
      <w:color w:val="000000"/>
      <w:sz w:val="22"/>
      <w:szCs w:val="22"/>
      <w:u w:val="none"/>
    </w:rPr>
  </w:style>
  <w:style w:type="character" w:customStyle="1" w:styleId="85">
    <w:name w:val="font11"/>
    <w:basedOn w:val="44"/>
    <w:qFormat/>
    <w:uiPriority w:val="0"/>
    <w:rPr>
      <w:rFonts w:hint="eastAsia" w:ascii="宋体" w:hAnsi="宋体" w:eastAsia="宋体" w:cs="宋体"/>
      <w:color w:val="000000"/>
      <w:sz w:val="21"/>
      <w:szCs w:val="21"/>
      <w:u w:val="none"/>
    </w:rPr>
  </w:style>
  <w:style w:type="character" w:customStyle="1" w:styleId="86">
    <w:name w:val="font21"/>
    <w:basedOn w:val="44"/>
    <w:qFormat/>
    <w:uiPriority w:val="0"/>
    <w:rPr>
      <w:rFonts w:hint="default" w:ascii="Arial" w:hAnsi="Arial" w:eastAsia="宋体" w:cs="Arial"/>
      <w:color w:val="000000"/>
      <w:sz w:val="20"/>
      <w:szCs w:val="20"/>
      <w:u w:val="none"/>
    </w:rPr>
  </w:style>
  <w:style w:type="character" w:customStyle="1" w:styleId="87">
    <w:name w:val="公司文档正文段落 Char"/>
    <w:link w:val="88"/>
    <w:qFormat/>
    <w:uiPriority w:val="0"/>
    <w:rPr>
      <w:rFonts w:ascii="宋体" w:hAnsi="宋体" w:eastAsia="宋体" w:cs="宋体"/>
      <w:kern w:val="0"/>
      <w:sz w:val="24"/>
      <w:szCs w:val="24"/>
    </w:rPr>
  </w:style>
  <w:style w:type="paragraph" w:customStyle="1" w:styleId="88">
    <w:name w:val="公司文档正文段落"/>
    <w:basedOn w:val="1"/>
    <w:link w:val="87"/>
    <w:qFormat/>
    <w:uiPriority w:val="0"/>
    <w:pPr>
      <w:widowControl/>
      <w:spacing w:line="360" w:lineRule="auto"/>
      <w:ind w:firstLine="420"/>
      <w:jc w:val="left"/>
    </w:pPr>
    <w:rPr>
      <w:rFonts w:ascii="宋体" w:hAnsi="宋体" w:cs="宋体"/>
      <w:kern w:val="0"/>
      <w:sz w:val="24"/>
      <w:szCs w:val="24"/>
    </w:rPr>
  </w:style>
  <w:style w:type="character" w:customStyle="1" w:styleId="89">
    <w:name w:val="批注文字 字符1"/>
    <w:qFormat/>
    <w:uiPriority w:val="0"/>
    <w:rPr>
      <w:rFonts w:ascii="Times New Roman" w:hAnsi="Times New Roman" w:eastAsia="宋体" w:cs="Times New Roman"/>
      <w:szCs w:val="21"/>
    </w:rPr>
  </w:style>
  <w:style w:type="character" w:customStyle="1" w:styleId="90">
    <w:name w:val="font101"/>
    <w:basedOn w:val="44"/>
    <w:qFormat/>
    <w:uiPriority w:val="0"/>
    <w:rPr>
      <w:rFonts w:hint="eastAsia" w:ascii="宋体" w:hAnsi="宋体" w:eastAsia="宋体" w:cs="宋体"/>
      <w:color w:val="000000"/>
      <w:sz w:val="21"/>
      <w:szCs w:val="21"/>
      <w:u w:val="none"/>
    </w:rPr>
  </w:style>
  <w:style w:type="character" w:customStyle="1" w:styleId="91">
    <w:name w:val="font111"/>
    <w:basedOn w:val="44"/>
    <w:qFormat/>
    <w:uiPriority w:val="0"/>
    <w:rPr>
      <w:rFonts w:hint="eastAsia" w:ascii="宋体" w:hAnsi="宋体" w:eastAsia="宋体" w:cs="宋体"/>
      <w:color w:val="FF0000"/>
      <w:sz w:val="21"/>
      <w:szCs w:val="21"/>
      <w:u w:val="none"/>
    </w:rPr>
  </w:style>
  <w:style w:type="character" w:customStyle="1" w:styleId="92">
    <w:name w:val="font31"/>
    <w:qFormat/>
    <w:uiPriority w:val="0"/>
    <w:rPr>
      <w:rFonts w:hint="eastAsia" w:ascii="宋体" w:hAnsi="宋体" w:eastAsia="宋体" w:cs="宋体"/>
      <w:color w:val="000000"/>
      <w:sz w:val="20"/>
      <w:szCs w:val="20"/>
      <w:u w:val="none"/>
    </w:rPr>
  </w:style>
  <w:style w:type="character" w:customStyle="1" w:styleId="93">
    <w:name w:val="font61"/>
    <w:basedOn w:val="44"/>
    <w:qFormat/>
    <w:uiPriority w:val="0"/>
    <w:rPr>
      <w:rFonts w:hint="eastAsia" w:ascii="宋体" w:hAnsi="宋体" w:eastAsia="宋体" w:cs="宋体"/>
      <w:color w:val="000000"/>
      <w:sz w:val="22"/>
      <w:szCs w:val="22"/>
      <w:u w:val="none"/>
    </w:rPr>
  </w:style>
  <w:style w:type="character" w:customStyle="1" w:styleId="94">
    <w:name w:val="font01"/>
    <w:qFormat/>
    <w:uiPriority w:val="0"/>
    <w:rPr>
      <w:rFonts w:hint="eastAsia" w:ascii="宋体" w:hAnsi="宋体" w:eastAsia="宋体" w:cs="宋体"/>
      <w:color w:val="000000"/>
      <w:sz w:val="20"/>
      <w:szCs w:val="20"/>
      <w:u w:val="none"/>
    </w:rPr>
  </w:style>
  <w:style w:type="character" w:customStyle="1" w:styleId="95">
    <w:name w:val="公司文档标题3 Char"/>
    <w:link w:val="96"/>
    <w:qFormat/>
    <w:uiPriority w:val="0"/>
    <w:rPr>
      <w:rFonts w:ascii="宋体" w:hAnsi="宋体" w:eastAsia="宋体" w:cs="Times New Roman"/>
      <w:b/>
      <w:kern w:val="44"/>
      <w:sz w:val="32"/>
      <w:szCs w:val="21"/>
    </w:rPr>
  </w:style>
  <w:style w:type="paragraph" w:customStyle="1" w:styleId="96">
    <w:name w:val="公司文档标题3"/>
    <w:basedOn w:val="5"/>
    <w:link w:val="95"/>
    <w:qFormat/>
    <w:uiPriority w:val="0"/>
    <w:pPr>
      <w:keepNext w:val="0"/>
      <w:keepLines w:val="0"/>
      <w:tabs>
        <w:tab w:val="left" w:pos="1080"/>
      </w:tabs>
      <w:spacing w:before="120" w:after="120" w:line="300" w:lineRule="auto"/>
      <w:ind w:left="720" w:hanging="720"/>
    </w:pPr>
    <w:rPr>
      <w:rFonts w:ascii="宋体" w:hAnsi="宋体"/>
      <w:bCs w:val="0"/>
      <w:kern w:val="44"/>
      <w:szCs w:val="21"/>
    </w:rPr>
  </w:style>
  <w:style w:type="character" w:customStyle="1" w:styleId="97">
    <w:name w:val="批注主题 字符1"/>
    <w:qFormat/>
    <w:uiPriority w:val="0"/>
    <w:rPr>
      <w:rFonts w:ascii="Times New Roman" w:hAnsi="Times New Roman" w:eastAsia="宋体" w:cs="Times New Roman"/>
      <w:b/>
      <w:bCs/>
      <w:szCs w:val="21"/>
    </w:rPr>
  </w:style>
  <w:style w:type="character" w:customStyle="1" w:styleId="98">
    <w:name w:val="font12"/>
    <w:qFormat/>
    <w:uiPriority w:val="0"/>
    <w:rPr>
      <w:rFonts w:hint="eastAsia" w:ascii="宋体" w:hAnsi="宋体" w:eastAsia="宋体" w:cs="宋体"/>
      <w:color w:val="FF0000"/>
      <w:sz w:val="22"/>
      <w:szCs w:val="22"/>
      <w:u w:val="none"/>
    </w:rPr>
  </w:style>
  <w:style w:type="character" w:customStyle="1" w:styleId="99">
    <w:name w:val="font71"/>
    <w:basedOn w:val="44"/>
    <w:qFormat/>
    <w:uiPriority w:val="0"/>
    <w:rPr>
      <w:rFonts w:hint="eastAsia" w:ascii="宋体" w:hAnsi="宋体" w:eastAsia="宋体" w:cs="宋体"/>
      <w:color w:val="000000"/>
      <w:sz w:val="22"/>
      <w:szCs w:val="22"/>
      <w:u w:val="none"/>
    </w:rPr>
  </w:style>
  <w:style w:type="character" w:customStyle="1" w:styleId="100">
    <w:name w:val="文档结构图 字符1"/>
    <w:qFormat/>
    <w:uiPriority w:val="0"/>
    <w:rPr>
      <w:rFonts w:ascii="Microsoft YaHei UI" w:hAnsi="Times New Roman" w:eastAsia="Microsoft YaHei UI" w:cs="Times New Roman"/>
      <w:sz w:val="18"/>
      <w:szCs w:val="18"/>
    </w:rPr>
  </w:style>
  <w:style w:type="character" w:customStyle="1" w:styleId="101">
    <w:name w:val="纯文本 字符1"/>
    <w:qFormat/>
    <w:uiPriority w:val="0"/>
    <w:rPr>
      <w:rFonts w:ascii="等线" w:hAnsi="Courier New" w:eastAsia="宋体" w:cs="Courier New"/>
      <w:szCs w:val="21"/>
    </w:rPr>
  </w:style>
  <w:style w:type="character" w:customStyle="1" w:styleId="102">
    <w:name w:val="正文文本缩进 2 字符1"/>
    <w:qFormat/>
    <w:uiPriority w:val="0"/>
    <w:rPr>
      <w:rFonts w:ascii="Times New Roman" w:hAnsi="Times New Roman" w:eastAsia="宋体" w:cs="Times New Roman"/>
      <w:szCs w:val="21"/>
    </w:rPr>
  </w:style>
  <w:style w:type="character" w:customStyle="1" w:styleId="103">
    <w:name w:val="正文1 Char"/>
    <w:link w:val="104"/>
    <w:qFormat/>
    <w:uiPriority w:val="0"/>
    <w:rPr>
      <w:rFonts w:ascii="Times New Roman" w:hAnsi="Times New Roman" w:eastAsia="宋体" w:cs="Times New Roman"/>
      <w:kern w:val="0"/>
      <w:sz w:val="28"/>
      <w:szCs w:val="24"/>
      <w:lang w:val="sq-AL"/>
    </w:rPr>
  </w:style>
  <w:style w:type="paragraph" w:customStyle="1" w:styleId="104">
    <w:name w:val="正文1"/>
    <w:basedOn w:val="1"/>
    <w:link w:val="103"/>
    <w:qFormat/>
    <w:uiPriority w:val="0"/>
    <w:pPr>
      <w:spacing w:line="480" w:lineRule="exact"/>
      <w:ind w:firstLine="567"/>
    </w:pPr>
    <w:rPr>
      <w:kern w:val="0"/>
      <w:sz w:val="28"/>
      <w:szCs w:val="24"/>
      <w:lang w:val="sq-AL"/>
    </w:rPr>
  </w:style>
  <w:style w:type="character" w:customStyle="1" w:styleId="105">
    <w:name w:val="正文文本 Char1"/>
    <w:qFormat/>
    <w:uiPriority w:val="0"/>
    <w:rPr>
      <w:rFonts w:ascii="Times New Roman" w:hAnsi="Times New Roman" w:eastAsia="宋体" w:cs="Times New Roman"/>
      <w:kern w:val="2"/>
      <w:sz w:val="18"/>
      <w:szCs w:val="24"/>
    </w:rPr>
  </w:style>
  <w:style w:type="character" w:customStyle="1" w:styleId="106">
    <w:name w:val="纯文本 Char1"/>
    <w:basedOn w:val="44"/>
    <w:qFormat/>
    <w:uiPriority w:val="0"/>
    <w:rPr>
      <w:rFonts w:ascii="宋体" w:hAnsi="Courier New" w:eastAsia="宋体" w:cs="Courier New"/>
      <w:sz w:val="21"/>
      <w:szCs w:val="21"/>
    </w:rPr>
  </w:style>
  <w:style w:type="character" w:customStyle="1" w:styleId="107">
    <w:name w:val="font121"/>
    <w:basedOn w:val="44"/>
    <w:qFormat/>
    <w:uiPriority w:val="0"/>
    <w:rPr>
      <w:rFonts w:ascii="微软雅黑" w:hAnsi="微软雅黑" w:eastAsia="微软雅黑" w:cs="微软雅黑"/>
      <w:color w:val="000000"/>
      <w:sz w:val="21"/>
      <w:szCs w:val="21"/>
      <w:u w:val="none"/>
    </w:rPr>
  </w:style>
  <w:style w:type="character" w:customStyle="1" w:styleId="108">
    <w:name w:val="font91"/>
    <w:basedOn w:val="44"/>
    <w:qFormat/>
    <w:uiPriority w:val="0"/>
    <w:rPr>
      <w:rFonts w:hint="default" w:ascii="Times New Roman" w:hAnsi="Times New Roman" w:cs="Times New Roman"/>
      <w:color w:val="000000"/>
      <w:sz w:val="21"/>
      <w:szCs w:val="21"/>
      <w:u w:val="none"/>
    </w:rPr>
  </w:style>
  <w:style w:type="character" w:customStyle="1" w:styleId="109">
    <w:name w:val="普通文字 Char Char2"/>
    <w:qFormat/>
    <w:uiPriority w:val="0"/>
    <w:rPr>
      <w:rFonts w:ascii="宋体" w:hAnsi="Courier New" w:eastAsia="宋体" w:cs="Times New Roman"/>
      <w:lang w:bidi="ar-SA"/>
    </w:rPr>
  </w:style>
  <w:style w:type="character" w:customStyle="1" w:styleId="110">
    <w:name w:val="列出段落 字符"/>
    <w:link w:val="111"/>
    <w:qFormat/>
    <w:uiPriority w:val="0"/>
    <w:rPr>
      <w:rFonts w:ascii="Times New Roman" w:hAnsi="Times New Roman" w:eastAsia="宋体" w:cs="Times New Roman"/>
      <w:szCs w:val="21"/>
    </w:rPr>
  </w:style>
  <w:style w:type="paragraph" w:customStyle="1" w:styleId="111">
    <w:name w:val="列出段落1"/>
    <w:basedOn w:val="1"/>
    <w:link w:val="110"/>
    <w:qFormat/>
    <w:uiPriority w:val="0"/>
    <w:pPr>
      <w:ind w:firstLine="420" w:firstLineChars="200"/>
    </w:pPr>
  </w:style>
  <w:style w:type="character" w:customStyle="1" w:styleId="112">
    <w:name w:val="公司文档正文 Char"/>
    <w:link w:val="113"/>
    <w:qFormat/>
    <w:uiPriority w:val="0"/>
    <w:rPr>
      <w:rFonts w:ascii="宋体" w:hAnsi="宋体" w:eastAsia="宋体" w:cs="Times New Roman"/>
      <w:kern w:val="0"/>
      <w:sz w:val="24"/>
      <w:szCs w:val="24"/>
    </w:rPr>
  </w:style>
  <w:style w:type="paragraph" w:customStyle="1" w:styleId="113">
    <w:name w:val="公司文档正文"/>
    <w:basedOn w:val="1"/>
    <w:link w:val="112"/>
    <w:qFormat/>
    <w:uiPriority w:val="0"/>
    <w:pPr>
      <w:widowControl/>
      <w:spacing w:line="360" w:lineRule="auto"/>
      <w:ind w:firstLine="420"/>
      <w:jc w:val="left"/>
    </w:pPr>
    <w:rPr>
      <w:rFonts w:ascii="宋体" w:hAnsi="宋体"/>
      <w:kern w:val="0"/>
      <w:sz w:val="24"/>
      <w:szCs w:val="24"/>
    </w:rPr>
  </w:style>
  <w:style w:type="character" w:customStyle="1" w:styleId="114">
    <w:name w:val="bullet 1 Char"/>
    <w:link w:val="115"/>
    <w:qFormat/>
    <w:uiPriority w:val="0"/>
    <w:rPr>
      <w:rFonts w:ascii="Calibri" w:hAnsi="Calibri" w:eastAsia="宋体" w:cs="Times New Roman"/>
      <w:szCs w:val="21"/>
    </w:rPr>
  </w:style>
  <w:style w:type="paragraph" w:customStyle="1" w:styleId="115">
    <w:name w:val="bullet 1"/>
    <w:basedOn w:val="1"/>
    <w:link w:val="114"/>
    <w:qFormat/>
    <w:uiPriority w:val="0"/>
    <w:pPr>
      <w:spacing w:beforeLines="50" w:afterLines="50" w:line="276" w:lineRule="auto"/>
    </w:pPr>
    <w:rPr>
      <w:rFonts w:ascii="Calibri" w:hAnsi="Calibri"/>
    </w:rPr>
  </w:style>
  <w:style w:type="character" w:customStyle="1" w:styleId="116">
    <w:name w:val="公司文档标题2 Char"/>
    <w:link w:val="117"/>
    <w:qFormat/>
    <w:uiPriority w:val="0"/>
    <w:rPr>
      <w:rFonts w:ascii="宋体" w:hAnsi="宋体" w:eastAsia="宋体" w:cs="Times New Roman"/>
      <w:b/>
      <w:bCs/>
      <w:sz w:val="44"/>
      <w:szCs w:val="44"/>
    </w:rPr>
  </w:style>
  <w:style w:type="paragraph" w:customStyle="1" w:styleId="117">
    <w:name w:val="公司文档标题2"/>
    <w:basedOn w:val="4"/>
    <w:link w:val="116"/>
    <w:qFormat/>
    <w:uiPriority w:val="0"/>
    <w:pPr>
      <w:keepNext w:val="0"/>
      <w:keepLines w:val="0"/>
      <w:tabs>
        <w:tab w:val="left" w:pos="576"/>
      </w:tabs>
      <w:spacing w:before="120" w:after="120" w:line="300" w:lineRule="auto"/>
      <w:ind w:left="576" w:hanging="576"/>
      <w:jc w:val="left"/>
    </w:pPr>
    <w:rPr>
      <w:rFonts w:ascii="宋体" w:hAnsi="宋体" w:eastAsia="宋体" w:cs="Times New Roman"/>
      <w:sz w:val="44"/>
      <w:szCs w:val="44"/>
    </w:rPr>
  </w:style>
  <w:style w:type="character" w:customStyle="1" w:styleId="118">
    <w:name w:val="font81"/>
    <w:basedOn w:val="44"/>
    <w:qFormat/>
    <w:uiPriority w:val="0"/>
    <w:rPr>
      <w:rFonts w:hint="default" w:ascii="Times New Roman" w:hAnsi="Times New Roman" w:eastAsia="宋体" w:cs="Times New Roman"/>
      <w:color w:val="000000"/>
      <w:sz w:val="22"/>
      <w:szCs w:val="22"/>
      <w:u w:val="none"/>
    </w:rPr>
  </w:style>
  <w:style w:type="character" w:customStyle="1" w:styleId="119">
    <w:name w:val="apple-converted-space"/>
    <w:qFormat/>
    <w:uiPriority w:val="0"/>
  </w:style>
  <w:style w:type="character" w:customStyle="1" w:styleId="120">
    <w:name w:val="公司标准-说明性文字 Char"/>
    <w:link w:val="121"/>
    <w:qFormat/>
    <w:uiPriority w:val="0"/>
    <w:rPr>
      <w:rFonts w:ascii="宋体" w:hAnsi="宋体" w:eastAsia="宋体" w:cs="宋体"/>
      <w:i/>
      <w:color w:val="0070C0"/>
      <w:kern w:val="0"/>
      <w:sz w:val="24"/>
      <w:szCs w:val="24"/>
    </w:rPr>
  </w:style>
  <w:style w:type="paragraph" w:customStyle="1" w:styleId="121">
    <w:name w:val="公司标准-说明性文字"/>
    <w:basedOn w:val="88"/>
    <w:link w:val="120"/>
    <w:qFormat/>
    <w:uiPriority w:val="0"/>
    <w:rPr>
      <w:rFonts w:ascii="Times New Roman" w:hAnsi="Times New Roman" w:cs="Times New Roman"/>
      <w:i/>
      <w:color w:val="0070C0"/>
    </w:rPr>
  </w:style>
  <w:style w:type="character" w:customStyle="1" w:styleId="122">
    <w:name w:val="NormalCharacter"/>
    <w:qFormat/>
    <w:uiPriority w:val="0"/>
    <w:rPr>
      <w:rFonts w:ascii="Times New Roman" w:hAnsi="Times New Roman" w:eastAsia="宋体" w:cs="Times New Roman"/>
    </w:rPr>
  </w:style>
  <w:style w:type="paragraph" w:customStyle="1" w:styleId="123">
    <w:name w:val="xl10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24">
    <w:name w:val="公司文档标题1"/>
    <w:basedOn w:val="3"/>
    <w:qFormat/>
    <w:uiPriority w:val="0"/>
    <w:pPr>
      <w:keepNext w:val="0"/>
      <w:keepLines w:val="0"/>
      <w:pageBreakBefore/>
      <w:tabs>
        <w:tab w:val="left" w:pos="432"/>
      </w:tabs>
      <w:spacing w:line="360" w:lineRule="auto"/>
      <w:ind w:left="432" w:hanging="432"/>
    </w:pPr>
    <w:rPr>
      <w:bCs w:val="0"/>
      <w:sz w:val="52"/>
      <w:szCs w:val="52"/>
    </w:rPr>
  </w:style>
  <w:style w:type="paragraph" w:customStyle="1" w:styleId="125">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26">
    <w:name w:val="文字"/>
    <w:basedOn w:val="1"/>
    <w:qFormat/>
    <w:uiPriority w:val="0"/>
    <w:pPr>
      <w:tabs>
        <w:tab w:val="left" w:pos="8520"/>
      </w:tabs>
      <w:spacing w:line="312" w:lineRule="auto"/>
      <w:ind w:right="-210" w:firstLine="556"/>
    </w:pPr>
    <w:rPr>
      <w:rFonts w:ascii="楷体_GB2312" w:eastAsia="楷体_GB2312" w:cs="楷体_GB2312"/>
      <w:sz w:val="28"/>
      <w:szCs w:val="28"/>
    </w:rPr>
  </w:style>
  <w:style w:type="paragraph" w:customStyle="1" w:styleId="127">
    <w:name w:val="font5"/>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8">
    <w:name w:val="正文2"/>
    <w:basedOn w:val="1"/>
    <w:qFormat/>
    <w:uiPriority w:val="0"/>
    <w:pPr>
      <w:widowControl/>
      <w:tabs>
        <w:tab w:val="left" w:pos="2240"/>
      </w:tabs>
      <w:spacing w:before="120" w:line="300" w:lineRule="auto"/>
      <w:ind w:left="198" w:firstLine="499"/>
    </w:pPr>
    <w:rPr>
      <w:color w:val="000000"/>
      <w:kern w:val="0"/>
      <w:sz w:val="24"/>
      <w:szCs w:val="24"/>
    </w:rPr>
  </w:style>
  <w:style w:type="paragraph" w:customStyle="1" w:styleId="129">
    <w:name w:val="Char1 Char Char Char"/>
    <w:basedOn w:val="1"/>
    <w:qFormat/>
    <w:uiPriority w:val="0"/>
    <w:rPr>
      <w:rFonts w:ascii="Tahoma" w:hAnsi="Tahoma"/>
      <w:sz w:val="24"/>
      <w:szCs w:val="20"/>
    </w:rPr>
  </w:style>
  <w:style w:type="paragraph" w:customStyle="1" w:styleId="130">
    <w:name w:val="Table Paragraph"/>
    <w:basedOn w:val="1"/>
    <w:qFormat/>
    <w:uiPriority w:val="0"/>
    <w:pPr>
      <w:autoSpaceDE w:val="0"/>
      <w:autoSpaceDN w:val="0"/>
      <w:jc w:val="left"/>
    </w:pPr>
    <w:rPr>
      <w:rFonts w:ascii="宋体" w:hAnsi="宋体" w:cs="宋体"/>
      <w:kern w:val="0"/>
      <w:sz w:val="22"/>
      <w:szCs w:val="22"/>
      <w:lang w:val="zh-CN" w:bidi="zh-CN"/>
    </w:rPr>
  </w:style>
  <w:style w:type="paragraph" w:customStyle="1" w:styleId="131">
    <w:name w:val="WW-正文（首行缩进两字）"/>
    <w:basedOn w:val="1"/>
    <w:qFormat/>
    <w:uiPriority w:val="0"/>
    <w:pPr>
      <w:suppressAutoHyphens/>
      <w:ind w:firstLine="420"/>
    </w:pPr>
    <w:rPr>
      <w:kern w:val="1"/>
      <w:szCs w:val="20"/>
    </w:rPr>
  </w:style>
  <w:style w:type="paragraph" w:customStyle="1" w:styleId="132">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33">
    <w:name w:val="Table_Medium"/>
    <w:basedOn w:val="134"/>
    <w:qFormat/>
    <w:uiPriority w:val="0"/>
    <w:pPr>
      <w:numPr>
        <w:ilvl w:val="3"/>
        <w:numId w:val="0"/>
      </w:numPr>
    </w:pPr>
    <w:rPr>
      <w:rFonts w:ascii="Times New Roman" w:hAnsi="Times New Roman"/>
      <w:sz w:val="18"/>
    </w:rPr>
  </w:style>
  <w:style w:type="paragraph" w:customStyle="1" w:styleId="134">
    <w:name w:val="Table"/>
    <w:basedOn w:val="1"/>
    <w:qFormat/>
    <w:uiPriority w:val="0"/>
    <w:pPr>
      <w:widowControl/>
      <w:numPr>
        <w:ilvl w:val="2"/>
        <w:numId w:val="2"/>
      </w:numPr>
      <w:tabs>
        <w:tab w:val="clear" w:pos="1440"/>
      </w:tabs>
      <w:spacing w:before="40" w:after="40"/>
      <w:ind w:left="0" w:firstLine="0"/>
      <w:jc w:val="left"/>
    </w:pPr>
    <w:rPr>
      <w:rFonts w:ascii="Futura Bk" w:hAnsi="Futura Bk"/>
      <w:kern w:val="0"/>
      <w:sz w:val="20"/>
      <w:szCs w:val="20"/>
      <w:lang w:val="en-GB" w:eastAsia="en-US"/>
    </w:rPr>
  </w:style>
  <w:style w:type="paragraph" w:customStyle="1" w:styleId="135">
    <w:name w:val="bodytext"/>
    <w:basedOn w:val="1"/>
    <w:qFormat/>
    <w:uiPriority w:val="0"/>
    <w:pPr>
      <w:widowControl/>
      <w:spacing w:before="60" w:after="60" w:line="360" w:lineRule="auto"/>
      <w:ind w:firstLine="420"/>
      <w:jc w:val="left"/>
    </w:pPr>
    <w:rPr>
      <w:rFonts w:ascii="宋体" w:hAnsi="宋体" w:cs="宋体"/>
      <w:kern w:val="0"/>
    </w:rPr>
  </w:style>
  <w:style w:type="paragraph" w:customStyle="1" w:styleId="136">
    <w:name w:val="列表1"/>
    <w:basedOn w:val="41"/>
    <w:qFormat/>
    <w:uiPriority w:val="0"/>
    <w:pPr>
      <w:numPr>
        <w:ilvl w:val="0"/>
        <w:numId w:val="3"/>
      </w:numPr>
      <w:tabs>
        <w:tab w:val="clear" w:pos="40"/>
      </w:tabs>
      <w:autoSpaceDE w:val="0"/>
      <w:autoSpaceDN w:val="0"/>
      <w:adjustRightInd w:val="0"/>
      <w:spacing w:after="0" w:line="360" w:lineRule="auto"/>
      <w:ind w:left="0" w:firstLine="0" w:firstLineChars="0"/>
      <w:textAlignment w:val="baseline"/>
    </w:pPr>
    <w:rPr>
      <w:rFonts w:ascii="Arial" w:hAnsi="Arial"/>
      <w:kern w:val="0"/>
    </w:rPr>
  </w:style>
  <w:style w:type="paragraph" w:customStyle="1" w:styleId="137">
    <w:name w:val="列出段落11"/>
    <w:basedOn w:val="1"/>
    <w:qFormat/>
    <w:uiPriority w:val="0"/>
    <w:pPr>
      <w:ind w:firstLine="420" w:firstLineChars="200"/>
    </w:pPr>
    <w:rPr>
      <w:rFonts w:ascii="等线" w:hAnsi="等线" w:eastAsia="等线"/>
      <w:szCs w:val="24"/>
    </w:rPr>
  </w:style>
  <w:style w:type="paragraph" w:customStyle="1" w:styleId="138">
    <w:name w:val="正文首行缩进 21"/>
    <w:basedOn w:val="139"/>
    <w:qFormat/>
    <w:uiPriority w:val="0"/>
    <w:pPr>
      <w:ind w:firstLine="420" w:firstLineChars="200"/>
    </w:pPr>
  </w:style>
  <w:style w:type="paragraph" w:customStyle="1" w:styleId="139">
    <w:name w:val="正文文本缩进1"/>
    <w:basedOn w:val="1"/>
    <w:qFormat/>
    <w:uiPriority w:val="0"/>
    <w:pPr>
      <w:spacing w:after="120"/>
      <w:ind w:left="420" w:leftChars="200"/>
    </w:pPr>
    <w:rPr>
      <w:rFonts w:ascii="楷体_GB2312" w:eastAsia="楷体_GB2312"/>
      <w:sz w:val="28"/>
    </w:rPr>
  </w:style>
  <w:style w:type="paragraph" w:customStyle="1" w:styleId="140">
    <w:name w:val="表格标题"/>
    <w:basedOn w:val="1"/>
    <w:next w:val="1"/>
    <w:qFormat/>
    <w:uiPriority w:val="0"/>
    <w:pPr>
      <w:spacing w:line="312" w:lineRule="auto"/>
      <w:jc w:val="center"/>
    </w:pPr>
    <w:rPr>
      <w:rFonts w:hint="eastAsia" w:ascii="宋体"/>
      <w:b/>
      <w:szCs w:val="20"/>
    </w:rPr>
  </w:style>
  <w:style w:type="paragraph" w:customStyle="1" w:styleId="141">
    <w:name w:val="xl9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2">
    <w:name w:val="列出段落5"/>
    <w:basedOn w:val="1"/>
    <w:qFormat/>
    <w:uiPriority w:val="0"/>
    <w:pPr>
      <w:ind w:firstLine="420" w:firstLineChars="200"/>
    </w:pPr>
  </w:style>
  <w:style w:type="paragraph" w:customStyle="1" w:styleId="143">
    <w:name w:val="Char"/>
    <w:basedOn w:val="1"/>
    <w:qFormat/>
    <w:uiPriority w:val="0"/>
    <w:pPr>
      <w:adjustRightInd w:val="0"/>
      <w:spacing w:line="360" w:lineRule="auto"/>
    </w:pPr>
    <w:rPr>
      <w:kern w:val="0"/>
      <w:sz w:val="24"/>
      <w:szCs w:val="20"/>
    </w:rPr>
  </w:style>
  <w:style w:type="paragraph" w:customStyle="1" w:styleId="144">
    <w:name w:val="xl10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45">
    <w:name w:val="InfoBlue"/>
    <w:basedOn w:val="1"/>
    <w:next w:val="2"/>
    <w:qFormat/>
    <w:uiPriority w:val="0"/>
    <w:pPr>
      <w:spacing w:before="240" w:after="120" w:line="240" w:lineRule="atLeast"/>
      <w:ind w:left="765"/>
    </w:pPr>
    <w:rPr>
      <w:i/>
      <w:color w:val="0000FF"/>
      <w:kern w:val="0"/>
      <w:sz w:val="20"/>
      <w:szCs w:val="20"/>
    </w:rPr>
  </w:style>
  <w:style w:type="paragraph" w:customStyle="1" w:styleId="146">
    <w:name w:val="xl10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47">
    <w:name w:val="xl10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8">
    <w:name w:val="正文首行缩进1(Crlf+Shift+M)"/>
    <w:qFormat/>
    <w:uiPriority w:val="0"/>
    <w:pPr>
      <w:spacing w:before="120" w:after="120" w:line="360" w:lineRule="auto"/>
      <w:ind w:firstLine="420" w:firstLineChars="200"/>
    </w:pPr>
    <w:rPr>
      <w:rFonts w:ascii="Arial" w:hAnsi="Arial" w:eastAsia="宋体" w:cs="宋体"/>
      <w:kern w:val="2"/>
      <w:sz w:val="21"/>
      <w:szCs w:val="22"/>
      <w:lang w:val="en-US" w:eastAsia="zh-CN" w:bidi="ar-SA"/>
    </w:rPr>
  </w:style>
  <w:style w:type="paragraph" w:customStyle="1" w:styleId="149">
    <w:name w:val="缩进项目列表"/>
    <w:basedOn w:val="17"/>
    <w:qFormat/>
    <w:uiPriority w:val="0"/>
    <w:pPr>
      <w:spacing w:before="120" w:after="120"/>
      <w:ind w:left="1050" w:leftChars="300"/>
    </w:pPr>
    <w:rPr>
      <w:rFonts w:ascii="宋体" w:hAnsi="宋体"/>
      <w:szCs w:val="20"/>
    </w:rPr>
  </w:style>
  <w:style w:type="paragraph" w:customStyle="1" w:styleId="150">
    <w:name w:val="级别1"/>
    <w:basedOn w:val="1"/>
    <w:qFormat/>
    <w:uiPriority w:val="0"/>
    <w:pPr>
      <w:tabs>
        <w:tab w:val="left" w:pos="400"/>
      </w:tabs>
      <w:spacing w:beforeLines="50"/>
      <w:ind w:left="400" w:hanging="400"/>
    </w:pPr>
    <w:rPr>
      <w:rFonts w:ascii="Arial" w:hAnsi="Arial"/>
      <w:sz w:val="24"/>
      <w:szCs w:val="24"/>
    </w:rPr>
  </w:style>
  <w:style w:type="paragraph" w:customStyle="1" w:styleId="151">
    <w:name w:val="xl98"/>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152">
    <w:name w:val="列表段落1"/>
    <w:basedOn w:val="1"/>
    <w:qFormat/>
    <w:uiPriority w:val="0"/>
    <w:pPr>
      <w:ind w:firstLine="420" w:firstLineChars="200"/>
    </w:pPr>
  </w:style>
  <w:style w:type="paragraph" w:customStyle="1" w:styleId="153">
    <w:name w:val="正文内容"/>
    <w:basedOn w:val="1"/>
    <w:qFormat/>
    <w:uiPriority w:val="0"/>
    <w:pPr>
      <w:spacing w:line="360" w:lineRule="auto"/>
      <w:ind w:firstLine="480" w:firstLineChars="200"/>
      <w:jc w:val="left"/>
    </w:pPr>
    <w:rPr>
      <w:rFonts w:ascii="宋体" w:hAnsi="宋体"/>
      <w:sz w:val="24"/>
      <w:szCs w:val="24"/>
      <w:lang w:val="zh-CN"/>
    </w:rPr>
  </w:style>
  <w:style w:type="paragraph" w:customStyle="1" w:styleId="154">
    <w:name w:val="1.1"/>
    <w:basedOn w:val="6"/>
    <w:qFormat/>
    <w:uiPriority w:val="0"/>
    <w:pPr>
      <w:spacing w:before="0" w:after="0" w:line="360" w:lineRule="auto"/>
    </w:pPr>
    <w:rPr>
      <w:rFonts w:ascii="宋体" w:hAnsi="宋体" w:cs="仿宋"/>
      <w:sz w:val="21"/>
      <w:szCs w:val="21"/>
    </w:rPr>
  </w:style>
  <w:style w:type="paragraph" w:customStyle="1" w:styleId="155">
    <w:name w:val="Char Char Char Char"/>
    <w:basedOn w:val="1"/>
    <w:qFormat/>
    <w:uiPriority w:val="0"/>
    <w:pPr>
      <w:widowControl/>
      <w:spacing w:after="160" w:line="240" w:lineRule="exact"/>
      <w:jc w:val="left"/>
    </w:pPr>
    <w:rPr>
      <w:rFonts w:ascii="Verdana" w:hAnsi="Verdana"/>
      <w:kern w:val="0"/>
      <w:sz w:val="20"/>
      <w:szCs w:val="20"/>
      <w:lang w:eastAsia="en-US"/>
    </w:rPr>
  </w:style>
  <w:style w:type="paragraph" w:customStyle="1" w:styleId="156">
    <w:name w:val="列出段落2"/>
    <w:basedOn w:val="1"/>
    <w:qFormat/>
    <w:uiPriority w:val="0"/>
    <w:pPr>
      <w:widowControl/>
      <w:spacing w:line="360" w:lineRule="auto"/>
      <w:ind w:firstLine="200" w:firstLineChars="200"/>
      <w:jc w:val="left"/>
    </w:pPr>
    <w:rPr>
      <w:rFonts w:ascii="宋体" w:hAnsi="宋体" w:eastAsia="仿宋" w:cs="宋体"/>
      <w:kern w:val="0"/>
      <w:sz w:val="24"/>
      <w:szCs w:val="24"/>
    </w:rPr>
  </w:style>
  <w:style w:type="paragraph" w:customStyle="1" w:styleId="157">
    <w:name w:val="Table Heading"/>
    <w:qFormat/>
    <w:uiPriority w:val="0"/>
    <w:pPr>
      <w:jc w:val="center"/>
    </w:pPr>
    <w:rPr>
      <w:rFonts w:ascii="Arial" w:hAnsi="Arial" w:eastAsia="宋体" w:cs="Times New Roman"/>
      <w:b/>
      <w:sz w:val="21"/>
      <w:szCs w:val="21"/>
      <w:lang w:val="en-US" w:eastAsia="zh-CN" w:bidi="ar-SA"/>
    </w:rPr>
  </w:style>
  <w:style w:type="paragraph" w:customStyle="1" w:styleId="158">
    <w:name w:val="公司文档标题4"/>
    <w:basedOn w:val="6"/>
    <w:qFormat/>
    <w:uiPriority w:val="0"/>
    <w:pPr>
      <w:keepNext w:val="0"/>
      <w:keepLines w:val="0"/>
      <w:tabs>
        <w:tab w:val="left" w:pos="1620"/>
      </w:tabs>
      <w:spacing w:before="60" w:after="60" w:line="300" w:lineRule="auto"/>
      <w:ind w:left="1044" w:hanging="864"/>
    </w:pPr>
    <w:rPr>
      <w:rFonts w:ascii="宋体" w:hAnsi="宋体" w:cs="Times New Roman"/>
      <w:b/>
      <w:kern w:val="44"/>
      <w:sz w:val="18"/>
      <w:szCs w:val="18"/>
    </w:rPr>
  </w:style>
  <w:style w:type="paragraph" w:customStyle="1" w:styleId="159">
    <w:name w:val="_Style 10"/>
    <w:basedOn w:val="2"/>
    <w:next w:val="41"/>
    <w:qFormat/>
    <w:uiPriority w:val="0"/>
    <w:pPr>
      <w:ind w:firstLine="420" w:firstLineChars="100"/>
    </w:pPr>
  </w:style>
  <w:style w:type="paragraph" w:customStyle="1" w:styleId="160">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61">
    <w:name w:val="xl110"/>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2">
    <w:name w:val="Table Text"/>
    <w:basedOn w:val="1"/>
    <w:qFormat/>
    <w:uiPriority w:val="0"/>
    <w:pPr>
      <w:widowControl/>
      <w:suppressAutoHyphens/>
      <w:overflowPunct w:val="0"/>
      <w:autoSpaceDE w:val="0"/>
      <w:autoSpaceDN w:val="0"/>
      <w:adjustRightInd w:val="0"/>
      <w:spacing w:after="60"/>
      <w:jc w:val="left"/>
      <w:textAlignment w:val="baseline"/>
    </w:pPr>
    <w:rPr>
      <w:rFonts w:ascii="宋体" w:hAnsi="宋体" w:cs="宋体"/>
      <w:kern w:val="0"/>
      <w:sz w:val="24"/>
      <w:szCs w:val="20"/>
    </w:rPr>
  </w:style>
  <w:style w:type="paragraph" w:customStyle="1" w:styleId="163">
    <w:name w:val="xl8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4">
    <w:name w:val="列表段落2"/>
    <w:basedOn w:val="1"/>
    <w:qFormat/>
    <w:uiPriority w:val="0"/>
    <w:pPr>
      <w:ind w:firstLine="420" w:firstLineChars="200"/>
    </w:pPr>
  </w:style>
  <w:style w:type="paragraph" w:customStyle="1" w:styleId="165">
    <w:name w:val="列出段落3"/>
    <w:basedOn w:val="1"/>
    <w:qFormat/>
    <w:uiPriority w:val="0"/>
    <w:pPr>
      <w:spacing w:before="50" w:beforeLines="50" w:after="50" w:afterLines="50" w:line="360" w:lineRule="auto"/>
      <w:ind w:firstLine="420" w:firstLineChars="200"/>
    </w:pPr>
  </w:style>
  <w:style w:type="paragraph" w:customStyle="1" w:styleId="166">
    <w:name w:val="xl9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67">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68">
    <w:name w:val="样式1"/>
    <w:basedOn w:val="1"/>
    <w:qFormat/>
    <w:uiPriority w:val="0"/>
    <w:pPr>
      <w:widowControl/>
      <w:overflowPunct w:val="0"/>
      <w:autoSpaceDE w:val="0"/>
      <w:autoSpaceDN w:val="0"/>
      <w:adjustRightInd w:val="0"/>
      <w:spacing w:after="80" w:line="360" w:lineRule="auto"/>
      <w:ind w:firstLine="570"/>
      <w:textAlignment w:val="baseline"/>
    </w:pPr>
    <w:rPr>
      <w:kern w:val="0"/>
      <w:sz w:val="28"/>
      <w:szCs w:val="20"/>
    </w:rPr>
  </w:style>
  <w:style w:type="paragraph" w:customStyle="1" w:styleId="169">
    <w:name w:val="日期1"/>
    <w:basedOn w:val="1"/>
    <w:next w:val="1"/>
    <w:qFormat/>
    <w:uiPriority w:val="0"/>
    <w:pPr>
      <w:adjustRightInd w:val="0"/>
      <w:spacing w:line="312" w:lineRule="atLeast"/>
      <w:textAlignment w:val="baseline"/>
    </w:pPr>
    <w:rPr>
      <w:kern w:val="0"/>
      <w:sz w:val="24"/>
      <w:szCs w:val="20"/>
    </w:rPr>
  </w:style>
  <w:style w:type="paragraph" w:customStyle="1" w:styleId="170">
    <w:name w:val="a"/>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71">
    <w:name w:val="List Paragraph1"/>
    <w:basedOn w:val="1"/>
    <w:qFormat/>
    <w:uiPriority w:val="0"/>
    <w:pPr>
      <w:ind w:firstLine="420" w:firstLineChars="200"/>
    </w:pPr>
    <w:rPr>
      <w:szCs w:val="20"/>
    </w:rPr>
  </w:style>
  <w:style w:type="paragraph" w:customStyle="1" w:styleId="172">
    <w:name w:val="正文文本缩进 31"/>
    <w:basedOn w:val="1"/>
    <w:qFormat/>
    <w:uiPriority w:val="0"/>
    <w:pPr>
      <w:overflowPunct w:val="0"/>
      <w:autoSpaceDE w:val="0"/>
      <w:autoSpaceDN w:val="0"/>
      <w:adjustRightInd w:val="0"/>
      <w:spacing w:line="360" w:lineRule="auto"/>
      <w:ind w:left="540"/>
      <w:textAlignment w:val="baseline"/>
    </w:pPr>
    <w:rPr>
      <w:rFonts w:ascii="宋体"/>
      <w:spacing w:val="26"/>
      <w:kern w:val="0"/>
      <w:sz w:val="24"/>
      <w:szCs w:val="20"/>
    </w:rPr>
  </w:style>
  <w:style w:type="paragraph" w:customStyle="1" w:styleId="173">
    <w:name w:val="xl10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color w:val="000000"/>
      <w:kern w:val="0"/>
      <w:sz w:val="20"/>
      <w:szCs w:val="20"/>
    </w:rPr>
  </w:style>
  <w:style w:type="paragraph" w:customStyle="1" w:styleId="174">
    <w:name w:val="xl103"/>
    <w:basedOn w:val="1"/>
    <w:qFormat/>
    <w:uiPriority w:val="0"/>
    <w:pPr>
      <w:widowControl/>
      <w:spacing w:before="100" w:beforeAutospacing="1" w:after="100" w:afterAutospacing="1"/>
      <w:jc w:val="center"/>
    </w:pPr>
    <w:rPr>
      <w:rFonts w:ascii="宋体" w:hAnsi="宋体" w:cs="宋体"/>
      <w:kern w:val="0"/>
      <w:sz w:val="20"/>
      <w:szCs w:val="20"/>
    </w:rPr>
  </w:style>
  <w:style w:type="paragraph" w:customStyle="1" w:styleId="175">
    <w:name w:val="xl106"/>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6">
    <w:name w:val="列出段落12"/>
    <w:basedOn w:val="1"/>
    <w:qFormat/>
    <w:uiPriority w:val="0"/>
    <w:pPr>
      <w:ind w:firstLine="420" w:firstLineChars="200"/>
    </w:pPr>
    <w:rPr>
      <w:szCs w:val="24"/>
    </w:rPr>
  </w:style>
  <w:style w:type="paragraph" w:customStyle="1" w:styleId="177">
    <w:name w:val="_Style 3"/>
    <w:basedOn w:val="1"/>
    <w:qFormat/>
    <w:uiPriority w:val="0"/>
    <w:pPr>
      <w:ind w:firstLine="420" w:firstLineChars="200"/>
    </w:pPr>
  </w:style>
  <w:style w:type="paragraph" w:customStyle="1" w:styleId="178">
    <w:name w:val="xl10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79">
    <w:name w:val="内容"/>
    <w:basedOn w:val="15"/>
    <w:qFormat/>
    <w:uiPriority w:val="0"/>
  </w:style>
  <w:style w:type="paragraph" w:customStyle="1" w:styleId="180">
    <w:name w:val="xl9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1">
    <w:name w:val="p0"/>
    <w:basedOn w:val="1"/>
    <w:qFormat/>
    <w:uiPriority w:val="0"/>
    <w:pPr>
      <w:widowControl/>
    </w:pPr>
    <w:rPr>
      <w:kern w:val="0"/>
    </w:rPr>
  </w:style>
  <w:style w:type="paragraph" w:customStyle="1" w:styleId="182">
    <w:name w:val="xl8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183">
    <w:name w:val="列出段落4"/>
    <w:basedOn w:val="1"/>
    <w:qFormat/>
    <w:uiPriority w:val="0"/>
    <w:pPr>
      <w:spacing w:line="360" w:lineRule="auto"/>
      <w:ind w:firstLine="420" w:firstLineChars="200"/>
      <w:jc w:val="left"/>
    </w:pPr>
    <w:rPr>
      <w:rFonts w:ascii="等线" w:hAnsi="等线" w:eastAsia="等线"/>
      <w:sz w:val="24"/>
      <w:szCs w:val="22"/>
    </w:rPr>
  </w:style>
  <w:style w:type="paragraph" w:customStyle="1" w:styleId="184">
    <w:name w:val="font8"/>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85">
    <w:name w:val="NormalIndent"/>
    <w:basedOn w:val="1"/>
    <w:qFormat/>
    <w:uiPriority w:val="0"/>
    <w:pPr>
      <w:ind w:firstLine="420"/>
    </w:pPr>
    <w:rPr>
      <w:szCs w:val="20"/>
    </w:rPr>
  </w:style>
  <w:style w:type="paragraph" w:customStyle="1" w:styleId="186">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styleId="187">
    <w:name w:val="List Paragraph"/>
    <w:basedOn w:val="1"/>
    <w:qFormat/>
    <w:uiPriority w:val="34"/>
    <w:pPr>
      <w:ind w:firstLine="420" w:firstLineChars="200"/>
    </w:pPr>
  </w:style>
  <w:style w:type="paragraph" w:customStyle="1" w:styleId="188">
    <w:name w:val="第三层标题"/>
    <w:basedOn w:val="128"/>
    <w:next w:val="128"/>
    <w:qFormat/>
    <w:uiPriority w:val="0"/>
    <w:pPr>
      <w:spacing w:before="240"/>
      <w:ind w:left="0" w:firstLine="0"/>
    </w:pPr>
  </w:style>
  <w:style w:type="paragraph" w:customStyle="1" w:styleId="189">
    <w:name w:val="xl93"/>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0">
    <w:name w:val="xl87"/>
    <w:basedOn w:val="1"/>
    <w:qFormat/>
    <w:uiPriority w:val="0"/>
    <w:pPr>
      <w:widowControl/>
      <w:spacing w:before="100" w:beforeAutospacing="1" w:after="100" w:afterAutospacing="1"/>
      <w:jc w:val="center"/>
    </w:pPr>
    <w:rPr>
      <w:rFonts w:ascii="宋体" w:hAnsi="宋体" w:cs="宋体"/>
      <w:kern w:val="0"/>
      <w:sz w:val="24"/>
      <w:szCs w:val="24"/>
    </w:rPr>
  </w:style>
  <w:style w:type="paragraph" w:customStyle="1" w:styleId="191">
    <w:name w:val="Numbered list 2.3"/>
    <w:basedOn w:val="5"/>
    <w:next w:val="1"/>
    <w:qFormat/>
    <w:uiPriority w:val="0"/>
    <w:pPr>
      <w:keepLines w:val="0"/>
      <w:widowControl/>
      <w:numPr>
        <w:ilvl w:val="0"/>
        <w:numId w:val="2"/>
      </w:numPr>
      <w:tabs>
        <w:tab w:val="clear" w:pos="360"/>
      </w:tabs>
      <w:spacing w:before="240" w:after="60" w:line="240" w:lineRule="auto"/>
      <w:ind w:left="1080"/>
      <w:jc w:val="left"/>
    </w:pPr>
    <w:rPr>
      <w:rFonts w:ascii="Futura Bk" w:hAnsi="Futura Bk"/>
      <w:bCs w:val="0"/>
      <w:kern w:val="0"/>
      <w:sz w:val="22"/>
      <w:szCs w:val="20"/>
      <w:lang w:val="en-GB" w:eastAsia="en-US"/>
    </w:rPr>
  </w:style>
  <w:style w:type="paragraph" w:customStyle="1" w:styleId="192">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93">
    <w:name w:val="font6"/>
    <w:basedOn w:val="1"/>
    <w:qFormat/>
    <w:uiPriority w:val="0"/>
    <w:pPr>
      <w:widowControl/>
      <w:spacing w:before="100" w:beforeAutospacing="1" w:after="100" w:afterAutospacing="1"/>
      <w:jc w:val="left"/>
    </w:pPr>
    <w:rPr>
      <w:rFonts w:ascii="宋体" w:hAnsi="宋体" w:cs="宋体"/>
      <w:kern w:val="0"/>
      <w:sz w:val="20"/>
      <w:szCs w:val="20"/>
    </w:rPr>
  </w:style>
  <w:style w:type="paragraph" w:customStyle="1" w:styleId="194">
    <w:name w:val="xl9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18"/>
      <w:szCs w:val="18"/>
    </w:rPr>
  </w:style>
  <w:style w:type="paragraph" w:customStyle="1" w:styleId="195">
    <w:name w:val="招标模板正文"/>
    <w:basedOn w:val="2"/>
    <w:qFormat/>
    <w:uiPriority w:val="0"/>
    <w:pPr>
      <w:snapToGrid w:val="0"/>
      <w:spacing w:line="360" w:lineRule="auto"/>
      <w:ind w:firstLine="408" w:firstLineChars="170"/>
    </w:pPr>
    <w:rPr>
      <w:rFonts w:ascii="微软雅黑" w:hAnsi="微软雅黑" w:eastAsia="微软雅黑"/>
      <w:color w:val="000000"/>
      <w:sz w:val="24"/>
      <w:szCs w:val="24"/>
    </w:rPr>
  </w:style>
  <w:style w:type="paragraph" w:customStyle="1" w:styleId="196">
    <w:name w:val="xl104"/>
    <w:basedOn w:val="1"/>
    <w:qFormat/>
    <w:uiPriority w:val="0"/>
    <w:pPr>
      <w:widowControl/>
      <w:spacing w:before="100" w:beforeAutospacing="1" w:after="100" w:afterAutospacing="1"/>
      <w:jc w:val="left"/>
    </w:pPr>
    <w:rPr>
      <w:rFonts w:ascii="宋体" w:hAnsi="宋体" w:cs="宋体"/>
      <w:kern w:val="0"/>
      <w:sz w:val="18"/>
      <w:szCs w:val="18"/>
    </w:rPr>
  </w:style>
  <w:style w:type="paragraph" w:customStyle="1" w:styleId="197">
    <w:name w:val="样式 段 + 左侧:  0.72 厘米"/>
    <w:basedOn w:val="1"/>
    <w:qFormat/>
    <w:uiPriority w:val="0"/>
    <w:pPr>
      <w:widowControl/>
      <w:autoSpaceDE w:val="0"/>
      <w:autoSpaceDN w:val="0"/>
      <w:ind w:left="406" w:firstLine="363" w:firstLineChars="173"/>
    </w:pPr>
    <w:rPr>
      <w:rFonts w:ascii="宋体"/>
      <w:kern w:val="0"/>
      <w:szCs w:val="20"/>
    </w:rPr>
  </w:style>
  <w:style w:type="paragraph" w:customStyle="1" w:styleId="198">
    <w:name w:val="1.标题"/>
    <w:basedOn w:val="5"/>
    <w:qFormat/>
    <w:uiPriority w:val="0"/>
    <w:pPr>
      <w:numPr>
        <w:ilvl w:val="0"/>
        <w:numId w:val="4"/>
      </w:numPr>
      <w:spacing w:before="0" w:after="0" w:line="360" w:lineRule="auto"/>
    </w:pPr>
    <w:rPr>
      <w:rFonts w:ascii="宋体" w:hAnsi="宋体"/>
      <w:sz w:val="21"/>
      <w:szCs w:val="21"/>
    </w:rPr>
  </w:style>
  <w:style w:type="paragraph" w:customStyle="1" w:styleId="199">
    <w:name w:val="xl99"/>
    <w:basedOn w:val="1"/>
    <w:qFormat/>
    <w:uiPriority w:val="0"/>
    <w:pPr>
      <w:widowControl/>
      <w:spacing w:before="100" w:beforeAutospacing="1" w:after="100" w:afterAutospacing="1"/>
      <w:jc w:val="center"/>
    </w:pPr>
    <w:rPr>
      <w:rFonts w:ascii="宋体" w:hAnsi="宋体" w:cs="宋体"/>
      <w:kern w:val="0"/>
      <w:sz w:val="18"/>
      <w:szCs w:val="18"/>
    </w:rPr>
  </w:style>
  <w:style w:type="paragraph" w:customStyle="1" w:styleId="200">
    <w:name w:val="xl90"/>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18"/>
      <w:szCs w:val="18"/>
    </w:rPr>
  </w:style>
  <w:style w:type="paragraph" w:customStyle="1" w:styleId="201">
    <w:name w:val="Char Char Char1 Char Char Char Char Char Char Char Char Char Char Char Char Char Char Char Char Char Char1 Char"/>
    <w:basedOn w:val="1"/>
    <w:qFormat/>
    <w:uiPriority w:val="0"/>
    <w:rPr>
      <w:szCs w:val="24"/>
    </w:rPr>
  </w:style>
  <w:style w:type="paragraph" w:customStyle="1" w:styleId="202">
    <w:name w:val="Cap_Normal"/>
    <w:basedOn w:val="1"/>
    <w:qFormat/>
    <w:uiPriority w:val="0"/>
    <w:pPr>
      <w:widowControl/>
      <w:spacing w:after="120"/>
      <w:jc w:val="left"/>
    </w:pPr>
    <w:rPr>
      <w:kern w:val="0"/>
      <w:sz w:val="22"/>
      <w:szCs w:val="20"/>
    </w:rPr>
  </w:style>
  <w:style w:type="paragraph" w:customStyle="1" w:styleId="203">
    <w:name w:val="彩色列表 - 着色 11"/>
    <w:basedOn w:val="1"/>
    <w:next w:val="165"/>
    <w:qFormat/>
    <w:uiPriority w:val="0"/>
    <w:pPr>
      <w:spacing w:line="500" w:lineRule="exact"/>
      <w:ind w:firstLine="420" w:firstLineChars="200"/>
    </w:pPr>
    <w:rPr>
      <w:sz w:val="24"/>
      <w:szCs w:val="24"/>
    </w:rPr>
  </w:style>
  <w:style w:type="paragraph" w:customStyle="1" w:styleId="204">
    <w:name w:val="infoblue"/>
    <w:basedOn w:val="1"/>
    <w:qFormat/>
    <w:uiPriority w:val="0"/>
    <w:pPr>
      <w:widowControl/>
      <w:spacing w:after="120" w:line="240" w:lineRule="atLeast"/>
      <w:ind w:left="720"/>
      <w:jc w:val="left"/>
    </w:pPr>
    <w:rPr>
      <w:i/>
      <w:iCs/>
      <w:color w:val="0000FF"/>
      <w:kern w:val="0"/>
      <w:sz w:val="20"/>
      <w:szCs w:val="20"/>
    </w:rPr>
  </w:style>
  <w:style w:type="paragraph" w:customStyle="1" w:styleId="205">
    <w:name w:val="_Style 198"/>
    <w:qFormat/>
    <w:uiPriority w:val="0"/>
    <w:rPr>
      <w:rFonts w:ascii="Times New Roman" w:hAnsi="Times New Roman" w:eastAsia="宋体" w:cs="Times New Roman"/>
      <w:kern w:val="2"/>
      <w:sz w:val="21"/>
      <w:szCs w:val="21"/>
      <w:lang w:val="en-US" w:eastAsia="zh-CN" w:bidi="ar-SA"/>
    </w:rPr>
  </w:style>
  <w:style w:type="paragraph" w:customStyle="1" w:styleId="206">
    <w:name w:val="样式 宋体 四号 加粗 自定义颜(RGB(094166)) 段前: 7.8 磅 行距: 多倍行距 1.25 字行"/>
    <w:basedOn w:val="1"/>
    <w:qFormat/>
    <w:uiPriority w:val="0"/>
    <w:pPr>
      <w:numPr>
        <w:ilvl w:val="0"/>
        <w:numId w:val="5"/>
      </w:numPr>
    </w:pPr>
    <w:rPr>
      <w:szCs w:val="24"/>
    </w:rPr>
  </w:style>
  <w:style w:type="paragraph" w:customStyle="1" w:styleId="207">
    <w:name w:val="font7"/>
    <w:basedOn w:val="1"/>
    <w:qFormat/>
    <w:uiPriority w:val="0"/>
    <w:pPr>
      <w:widowControl/>
      <w:spacing w:before="100" w:beforeAutospacing="1" w:after="100" w:afterAutospacing="1"/>
      <w:jc w:val="left"/>
    </w:pPr>
    <w:rPr>
      <w:rFonts w:ascii="宋体" w:hAnsi="宋体" w:cs="宋体"/>
      <w:kern w:val="0"/>
      <w:sz w:val="18"/>
      <w:szCs w:val="18"/>
    </w:rPr>
  </w:style>
  <w:style w:type="table" w:customStyle="1" w:styleId="208">
    <w:name w:val="Table Normal"/>
    <w:qFormat/>
    <w:uiPriority w:val="0"/>
    <w:tblPr>
      <w:tblCellMar>
        <w:top w:w="0" w:type="dxa"/>
        <w:left w:w="0" w:type="dxa"/>
        <w:bottom w:w="0" w:type="dxa"/>
        <w:right w:w="0" w:type="dxa"/>
      </w:tblCellMar>
    </w:tblPr>
  </w:style>
  <w:style w:type="character" w:customStyle="1" w:styleId="209">
    <w:name w:val="(中文) 仿宋_GB2312 四号"/>
    <w:qFormat/>
    <w:uiPriority w:val="0"/>
    <w:rPr>
      <w:rFonts w:eastAsia="仿宋_GB2312"/>
      <w:position w:val="8"/>
      <w:sz w:val="28"/>
    </w:rPr>
  </w:style>
  <w:style w:type="character" w:customStyle="1" w:styleId="210">
    <w:name w:val="font41"/>
    <w:basedOn w:val="44"/>
    <w:qFormat/>
    <w:uiPriority w:val="0"/>
    <w:rPr>
      <w:rFonts w:hint="eastAsia" w:ascii="宋体" w:hAnsi="宋体" w:eastAsia="宋体" w:cs="宋体"/>
      <w:color w:val="000000"/>
      <w:sz w:val="21"/>
      <w:szCs w:val="21"/>
      <w:u w:val="none"/>
    </w:rPr>
  </w:style>
  <w:style w:type="paragraph" w:customStyle="1" w:styleId="211">
    <w:name w:val="大标题"/>
    <w:basedOn w:val="1"/>
    <w:next w:val="2"/>
    <w:qFormat/>
    <w:uiPriority w:val="0"/>
    <w:pPr>
      <w:spacing w:line="640" w:lineRule="exact"/>
      <w:jc w:val="center"/>
    </w:pPr>
    <w:rPr>
      <w:rFonts w:hint="eastAsia" w:ascii="小标宋" w:hAnsi="小标宋" w:eastAsia="小标宋" w:cs="小标宋"/>
      <w:sz w:val="44"/>
      <w:szCs w:val="44"/>
      <w:lang w:val="en"/>
    </w:rPr>
  </w:style>
  <w:style w:type="paragraph" w:customStyle="1" w:styleId="212">
    <w:name w:val="正文格式"/>
    <w:basedOn w:val="1"/>
    <w:qFormat/>
    <w:uiPriority w:val="0"/>
    <w:pPr>
      <w:spacing w:beforeLines="50" w:afterLines="50" w:line="360" w:lineRule="auto"/>
    </w:pPr>
  </w:style>
  <w:style w:type="paragraph" w:customStyle="1" w:styleId="213">
    <w:name w:val="WPSOffice手动目录 1"/>
    <w:qFormat/>
    <w:uiPriority w:val="0"/>
    <w:rPr>
      <w:rFonts w:ascii="Times New Roman" w:hAnsi="Times New Roman" w:eastAsia="宋体" w:cs="Times New Roman"/>
      <w:lang w:val="en-US" w:eastAsia="zh-CN" w:bidi="ar-SA"/>
    </w:rPr>
  </w:style>
  <w:style w:type="paragraph" w:customStyle="1" w:styleId="214">
    <w:name w:val="_Style 30"/>
    <w:basedOn w:val="2"/>
    <w:next w:val="41"/>
    <w:qFormat/>
    <w:uiPriority w:val="0"/>
    <w:pPr>
      <w:ind w:firstLine="420" w:firstLineChars="100"/>
    </w:pPr>
    <w:rPr>
      <w:szCs w:val="24"/>
    </w:rPr>
  </w:style>
  <w:style w:type="character" w:customStyle="1" w:styleId="215">
    <w:name w:val="标题 4 Char"/>
    <w:link w:val="6"/>
    <w:qFormat/>
    <w:uiPriority w:val="0"/>
    <w:rPr>
      <w:rFonts w:ascii="Times New Roman" w:hAnsi="Times New Roman" w:eastAsia="宋体" w:cs="Times New Roman"/>
      <w:sz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42</Pages>
  <Words>11002</Words>
  <Characters>11601</Characters>
  <Lines>147</Lines>
  <Paragraphs>41</Paragraphs>
  <TotalTime>6</TotalTime>
  <ScaleCrop>false</ScaleCrop>
  <LinksUpToDate>false</LinksUpToDate>
  <CharactersWithSpaces>11700</CharactersWithSpaces>
  <Application>WPS Office_12.8.2.18913_F1E327BC-269C-435d-A152-05C5408002CA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2025-09-28T09:52:00Z</dcterms:created>
  <dc:creator>Win10</dc:creator>
  <cp:lastModifiedBy>Administrator</cp:lastModifiedBy>
  <cp:lastPrinted>2025-11-18T02:51:00Z</cp:lastPrinted>
  <dcterms:modified xsi:type="dcterms:W3CDTF">2025-12-18T04:05:30Z</dcterms:modified>
  <dc:title>桂林银行议价文件</dc:title>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2052-12.8.2.18913</vt:lpwstr>
  </property>
  <property fmtid="{D5CDD505-2E9C-101B-9397-08002B2CF9AE}" pid="3" name="ICV">
    <vt:lpwstr>3F7F84A7236B4823A81CD61058A5347B_13</vt:lpwstr>
  </property>
  <property fmtid="{D5CDD505-2E9C-101B-9397-08002B2CF9AE}" pid="4" name="KSOTemplateDocerSaveRecord">
    <vt:lpwstr>eyJoZGlkIjoiYTc1M2MwNWQwMjBlMWUzZjNlNTQzNTJmMDMwYmUyOTYiLCJ1c2VySWQiOiI0MDk3MjAyODMifQ==</vt:lpwstr>
  </property>
</Properties>
</file>