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07C19">
      <w:pPr>
        <w:pStyle w:val="26"/>
        <w:jc w:val="center"/>
        <w:rPr>
          <w:rFonts w:ascii="Times New Roman" w:hAnsi="Times New Roman" w:cs="Times New Roman"/>
          <w:b/>
          <w:bCs/>
          <w:color w:val="auto"/>
          <w:spacing w:val="80"/>
          <w:sz w:val="32"/>
          <w:szCs w:val="32"/>
          <w:highlight w:val="none"/>
        </w:rPr>
      </w:pPr>
    </w:p>
    <w:p w14:paraId="4FB458E3">
      <w:pPr>
        <w:pStyle w:val="26"/>
        <w:jc w:val="center"/>
        <w:rPr>
          <w:rFonts w:ascii="Times New Roman" w:hAnsi="Times New Roman" w:cs="Times New Roman"/>
          <w:b/>
          <w:bCs/>
          <w:color w:val="auto"/>
          <w:spacing w:val="80"/>
          <w:sz w:val="32"/>
          <w:szCs w:val="32"/>
          <w:highlight w:val="none"/>
        </w:rPr>
      </w:pPr>
    </w:p>
    <w:p w14:paraId="0E9AE870">
      <w:pPr>
        <w:pStyle w:val="26"/>
        <w:jc w:val="center"/>
        <w:rPr>
          <w:rFonts w:ascii="Times New Roman" w:hAnsi="Times New Roman" w:cs="Times New Roman"/>
          <w:b/>
          <w:bCs/>
          <w:color w:val="auto"/>
          <w:spacing w:val="80"/>
          <w:sz w:val="32"/>
          <w:szCs w:val="32"/>
          <w:highlight w:val="none"/>
        </w:rPr>
      </w:pPr>
    </w:p>
    <w:p w14:paraId="29F7B1B8">
      <w:pPr>
        <w:pStyle w:val="26"/>
        <w:jc w:val="center"/>
        <w:rPr>
          <w:rFonts w:ascii="Times New Roman" w:hAnsi="Times New Roman" w:cs="Times New Roman"/>
          <w:b/>
          <w:bCs/>
          <w:color w:val="auto"/>
          <w:sz w:val="72"/>
          <w:szCs w:val="72"/>
          <w:highlight w:val="none"/>
        </w:rPr>
      </w:pPr>
      <w:r>
        <w:rPr>
          <w:rFonts w:ascii="Times New Roman" w:hAnsi="Times New Roman" w:eastAsia="小标宋" w:cs="Times New Roman"/>
          <w:color w:val="auto"/>
          <w:sz w:val="72"/>
          <w:szCs w:val="72"/>
          <w:highlight w:val="none"/>
        </w:rPr>
        <w:t>磋商文件</w:t>
      </w:r>
    </w:p>
    <w:p w14:paraId="4BD6FC32">
      <w:pPr>
        <w:pStyle w:val="26"/>
        <w:rPr>
          <w:rFonts w:ascii="Times New Roman" w:hAnsi="Times New Roman" w:cs="Times New Roman"/>
          <w:color w:val="auto"/>
          <w:highlight w:val="none"/>
        </w:rPr>
      </w:pPr>
    </w:p>
    <w:p w14:paraId="700F0225">
      <w:pPr>
        <w:pStyle w:val="26"/>
        <w:ind w:firstLine="3885" w:firstLineChars="1850"/>
        <w:rPr>
          <w:rFonts w:ascii="Times New Roman" w:hAnsi="Times New Roman" w:cs="Times New Roman"/>
          <w:color w:val="auto"/>
          <w:highlight w:val="none"/>
        </w:rPr>
      </w:pPr>
    </w:p>
    <w:p w14:paraId="3DEB9B4F">
      <w:pPr>
        <w:pStyle w:val="26"/>
        <w:rPr>
          <w:rFonts w:ascii="Times New Roman" w:hAnsi="Times New Roman" w:cs="Times New Roman"/>
          <w:color w:val="auto"/>
          <w:highlight w:val="none"/>
        </w:rPr>
      </w:pPr>
    </w:p>
    <w:p w14:paraId="45ACECE8">
      <w:pPr>
        <w:pStyle w:val="26"/>
        <w:rPr>
          <w:rFonts w:ascii="Times New Roman" w:hAnsi="Times New Roman" w:cs="Times New Roman"/>
          <w:color w:val="auto"/>
          <w:highlight w:val="none"/>
        </w:rPr>
      </w:pPr>
    </w:p>
    <w:p w14:paraId="64E903C9">
      <w:pPr>
        <w:pStyle w:val="26"/>
        <w:rPr>
          <w:rFonts w:ascii="Times New Roman" w:hAnsi="Times New Roman" w:cs="Times New Roman"/>
          <w:color w:val="auto"/>
          <w:highlight w:val="none"/>
        </w:rPr>
      </w:pPr>
    </w:p>
    <w:p w14:paraId="0E4F55A2">
      <w:pPr>
        <w:pStyle w:val="26"/>
        <w:rPr>
          <w:rFonts w:ascii="Times New Roman" w:hAnsi="Times New Roman" w:cs="Times New Roman"/>
          <w:color w:val="auto"/>
          <w:highlight w:val="none"/>
        </w:rPr>
      </w:pPr>
    </w:p>
    <w:p w14:paraId="18203C72">
      <w:pPr>
        <w:ind w:firstLine="218" w:firstLineChars="68"/>
        <w:rPr>
          <w:rFonts w:hint="eastAsia"/>
          <w:b/>
          <w:bCs/>
          <w:color w:val="auto"/>
          <w:spacing w:val="0"/>
          <w:sz w:val="32"/>
          <w:szCs w:val="32"/>
          <w:highlight w:val="none"/>
          <w:lang w:eastAsia="zh-CN"/>
        </w:rPr>
      </w:pPr>
      <w:r>
        <w:rPr>
          <w:b/>
          <w:bCs/>
          <w:color w:val="auto"/>
          <w:sz w:val="32"/>
          <w:szCs w:val="32"/>
          <w:highlight w:val="none"/>
        </w:rPr>
        <w:t>项目名称：</w:t>
      </w:r>
      <w:r>
        <w:rPr>
          <w:rFonts w:hint="eastAsia"/>
          <w:b/>
          <w:bCs/>
          <w:color w:val="auto"/>
          <w:sz w:val="32"/>
          <w:szCs w:val="32"/>
          <w:highlight w:val="none"/>
          <w:lang w:val="en-US" w:eastAsia="zh-CN"/>
        </w:rPr>
        <w:t>桂林银行</w:t>
      </w:r>
      <w:r>
        <w:rPr>
          <w:rFonts w:hint="eastAsia"/>
          <w:b/>
          <w:bCs/>
          <w:color w:val="auto"/>
          <w:spacing w:val="0"/>
          <w:sz w:val="32"/>
          <w:szCs w:val="32"/>
          <w:highlight w:val="none"/>
          <w:lang w:eastAsia="zh-CN"/>
        </w:rPr>
        <w:t>中国-东盟金融人工智能服务共享网络节点</w:t>
      </w:r>
    </w:p>
    <w:p w14:paraId="57313E9F">
      <w:pPr>
        <w:ind w:firstLine="1821" w:firstLineChars="567"/>
        <w:rPr>
          <w:rFonts w:hint="eastAsia" w:eastAsia="宋体"/>
          <w:b/>
          <w:bCs/>
          <w:color w:val="auto"/>
          <w:sz w:val="32"/>
          <w:szCs w:val="32"/>
          <w:highlight w:val="none"/>
          <w:lang w:eastAsia="zh-CN"/>
        </w:rPr>
      </w:pPr>
      <w:r>
        <w:rPr>
          <w:rFonts w:hint="eastAsia"/>
          <w:b/>
          <w:bCs/>
          <w:color w:val="auto"/>
          <w:spacing w:val="0"/>
          <w:sz w:val="32"/>
          <w:szCs w:val="32"/>
          <w:highlight w:val="none"/>
          <w:lang w:eastAsia="zh-CN"/>
        </w:rPr>
        <w:t>建设项目</w:t>
      </w:r>
    </w:p>
    <w:p w14:paraId="49B3F912">
      <w:pPr>
        <w:ind w:firstLine="218" w:firstLineChars="68"/>
        <w:rPr>
          <w:rFonts w:hint="default" w:eastAsia="宋体"/>
          <w:b/>
          <w:bCs/>
          <w:color w:val="auto"/>
          <w:sz w:val="32"/>
          <w:szCs w:val="32"/>
          <w:highlight w:val="none"/>
          <w:lang w:val="en-US" w:eastAsia="zh-CN"/>
        </w:rPr>
      </w:pPr>
      <w:r>
        <w:rPr>
          <w:b/>
          <w:bCs/>
          <w:color w:val="auto"/>
          <w:sz w:val="32"/>
          <w:szCs w:val="32"/>
          <w:highlight w:val="none"/>
        </w:rPr>
        <w:t>项目编号：GYJC202</w:t>
      </w:r>
      <w:r>
        <w:rPr>
          <w:rFonts w:hint="eastAsia"/>
          <w:b/>
          <w:bCs/>
          <w:color w:val="auto"/>
          <w:sz w:val="32"/>
          <w:szCs w:val="32"/>
          <w:highlight w:val="none"/>
          <w:lang w:val="en-US" w:eastAsia="zh-CN"/>
        </w:rPr>
        <w:t>6</w:t>
      </w:r>
      <w:r>
        <w:rPr>
          <w:rFonts w:hint="eastAsia"/>
          <w:b/>
          <w:bCs/>
          <w:color w:val="auto"/>
          <w:sz w:val="32"/>
          <w:szCs w:val="32"/>
          <w:highlight w:val="none"/>
          <w:lang w:val="en-US" w:eastAsia="zh-CN"/>
        </w:rPr>
        <w:t>014</w:t>
      </w:r>
    </w:p>
    <w:p w14:paraId="017B76D2">
      <w:pPr>
        <w:pStyle w:val="55"/>
        <w:spacing w:line="240" w:lineRule="auto"/>
        <w:rPr>
          <w:color w:val="auto"/>
          <w:highlight w:val="none"/>
        </w:rPr>
      </w:pPr>
      <w:r>
        <w:rPr>
          <w:b/>
          <w:bCs/>
          <w:color w:val="auto"/>
          <w:sz w:val="32"/>
          <w:szCs w:val="32"/>
          <w:highlight w:val="none"/>
        </w:rPr>
        <w:t xml:space="preserve"> 采 购 人：桂林银行股份有限公司</w:t>
      </w:r>
    </w:p>
    <w:p w14:paraId="639A36AA">
      <w:pPr>
        <w:ind w:firstLine="157" w:firstLineChars="49"/>
        <w:rPr>
          <w:color w:val="auto"/>
          <w:highlight w:val="none"/>
        </w:rPr>
      </w:pPr>
      <w:r>
        <w:rPr>
          <w:b/>
          <w:bCs/>
          <w:color w:val="auto"/>
          <w:sz w:val="32"/>
          <w:szCs w:val="32"/>
          <w:highlight w:val="none"/>
        </w:rPr>
        <w:t xml:space="preserve">   </w:t>
      </w:r>
    </w:p>
    <w:p w14:paraId="5FAA4DB5">
      <w:pPr>
        <w:ind w:left="-2" w:leftChars="-1" w:firstLine="840" w:firstLineChars="400"/>
        <w:rPr>
          <w:color w:val="auto"/>
          <w:highlight w:val="none"/>
        </w:rPr>
      </w:pPr>
    </w:p>
    <w:p w14:paraId="35D66B5A">
      <w:pPr>
        <w:ind w:left="-2" w:leftChars="-1" w:firstLine="840" w:firstLineChars="400"/>
        <w:rPr>
          <w:color w:val="auto"/>
          <w:highlight w:val="none"/>
        </w:rPr>
      </w:pPr>
    </w:p>
    <w:p w14:paraId="2B242878">
      <w:pPr>
        <w:ind w:left="-2" w:leftChars="-1" w:firstLine="840" w:firstLineChars="400"/>
        <w:rPr>
          <w:color w:val="auto"/>
          <w:highlight w:val="none"/>
        </w:rPr>
      </w:pPr>
    </w:p>
    <w:p w14:paraId="11A33602">
      <w:pPr>
        <w:ind w:left="-2" w:leftChars="-1" w:firstLine="840" w:firstLineChars="400"/>
        <w:rPr>
          <w:color w:val="auto"/>
          <w:highlight w:val="none"/>
        </w:rPr>
      </w:pPr>
    </w:p>
    <w:p w14:paraId="12CAC41B">
      <w:pPr>
        <w:rPr>
          <w:color w:val="auto"/>
          <w:highlight w:val="none"/>
        </w:rPr>
      </w:pPr>
    </w:p>
    <w:p w14:paraId="68145DD8">
      <w:pPr>
        <w:ind w:left="-2" w:leftChars="-1" w:firstLine="840" w:firstLineChars="400"/>
        <w:rPr>
          <w:color w:val="auto"/>
          <w:highlight w:val="none"/>
        </w:rPr>
      </w:pPr>
    </w:p>
    <w:p w14:paraId="6EB47892">
      <w:pPr>
        <w:pStyle w:val="20"/>
        <w:rPr>
          <w:color w:val="auto"/>
          <w:highlight w:val="none"/>
        </w:rPr>
      </w:pPr>
    </w:p>
    <w:p w14:paraId="5AEC9325">
      <w:pPr>
        <w:rPr>
          <w:color w:val="auto"/>
          <w:highlight w:val="none"/>
        </w:rPr>
      </w:pPr>
    </w:p>
    <w:p w14:paraId="1D9FB6E4">
      <w:pPr>
        <w:pStyle w:val="20"/>
        <w:rPr>
          <w:color w:val="auto"/>
          <w:highlight w:val="none"/>
        </w:rPr>
      </w:pPr>
    </w:p>
    <w:p w14:paraId="272162D8">
      <w:pPr>
        <w:rPr>
          <w:color w:val="auto"/>
          <w:highlight w:val="none"/>
        </w:rPr>
      </w:pPr>
    </w:p>
    <w:p w14:paraId="270D3236">
      <w:pPr>
        <w:ind w:left="-2" w:leftChars="-1" w:firstLine="840" w:firstLineChars="400"/>
        <w:rPr>
          <w:color w:val="auto"/>
          <w:highlight w:val="none"/>
        </w:rPr>
      </w:pPr>
    </w:p>
    <w:p w14:paraId="0E2B6CA6">
      <w:pPr>
        <w:rPr>
          <w:color w:val="auto"/>
          <w:highlight w:val="none"/>
        </w:rPr>
      </w:pPr>
    </w:p>
    <w:p w14:paraId="6BF04F77">
      <w:pPr>
        <w:tabs>
          <w:tab w:val="left" w:pos="1260"/>
        </w:tabs>
        <w:ind w:left="-2" w:leftChars="-1" w:firstLine="630" w:firstLineChars="300"/>
        <w:rPr>
          <w:color w:val="auto"/>
          <w:highlight w:val="none"/>
        </w:rPr>
      </w:pPr>
    </w:p>
    <w:p w14:paraId="6F8F1C60">
      <w:pPr>
        <w:ind w:left="103" w:leftChars="49" w:firstLine="3762" w:firstLineChars="1171"/>
        <w:rPr>
          <w:color w:val="auto"/>
          <w:sz w:val="32"/>
          <w:szCs w:val="32"/>
          <w:highlight w:val="none"/>
        </w:rPr>
      </w:pPr>
      <w:r>
        <w:rPr>
          <w:b/>
          <w:bCs/>
          <w:color w:val="auto"/>
          <w:sz w:val="32"/>
          <w:szCs w:val="32"/>
          <w:highlight w:val="none"/>
        </w:rPr>
        <w:t>202</w:t>
      </w:r>
      <w:r>
        <w:rPr>
          <w:rFonts w:hint="eastAsia"/>
          <w:b/>
          <w:bCs/>
          <w:color w:val="auto"/>
          <w:sz w:val="32"/>
          <w:szCs w:val="32"/>
          <w:highlight w:val="none"/>
          <w:lang w:val="en-US" w:eastAsia="zh-CN"/>
        </w:rPr>
        <w:t>6</w:t>
      </w:r>
      <w:r>
        <w:rPr>
          <w:b/>
          <w:bCs/>
          <w:color w:val="auto"/>
          <w:sz w:val="32"/>
          <w:szCs w:val="32"/>
          <w:highlight w:val="none"/>
        </w:rPr>
        <w:t>年</w:t>
      </w:r>
      <w:r>
        <w:rPr>
          <w:rFonts w:hint="eastAsia"/>
          <w:b/>
          <w:bCs/>
          <w:color w:val="auto"/>
          <w:sz w:val="32"/>
          <w:szCs w:val="32"/>
          <w:highlight w:val="none"/>
          <w:lang w:val="en-US" w:eastAsia="zh-CN"/>
        </w:rPr>
        <w:t>1</w:t>
      </w:r>
      <w:r>
        <w:rPr>
          <w:b/>
          <w:bCs/>
          <w:color w:val="auto"/>
          <w:sz w:val="32"/>
          <w:szCs w:val="32"/>
          <w:highlight w:val="none"/>
        </w:rPr>
        <w:t>月</w:t>
      </w:r>
    </w:p>
    <w:p w14:paraId="0A00D82F">
      <w:pPr>
        <w:spacing w:line="440" w:lineRule="exact"/>
        <w:jc w:val="center"/>
        <w:rPr>
          <w:color w:val="auto"/>
          <w:sz w:val="44"/>
          <w:szCs w:val="44"/>
          <w:highlight w:val="none"/>
        </w:rPr>
        <w:sectPr>
          <w:footerReference r:id="rId3"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015A977E">
      <w:pPr>
        <w:pStyle w:val="55"/>
        <w:rPr>
          <w:color w:val="auto"/>
          <w:highlight w:val="none"/>
        </w:rPr>
      </w:pPr>
    </w:p>
    <w:p w14:paraId="04AB9B01">
      <w:pPr>
        <w:spacing w:line="440" w:lineRule="exact"/>
        <w:jc w:val="center"/>
        <w:rPr>
          <w:color w:val="auto"/>
          <w:sz w:val="44"/>
          <w:szCs w:val="44"/>
          <w:highlight w:val="none"/>
        </w:rPr>
      </w:pPr>
      <w:r>
        <w:rPr>
          <w:color w:val="auto"/>
          <w:sz w:val="44"/>
          <w:szCs w:val="44"/>
          <w:highlight w:val="none"/>
        </w:rPr>
        <w:t>目录</w:t>
      </w:r>
    </w:p>
    <w:p w14:paraId="1B3C7A8C">
      <w:pPr>
        <w:rPr>
          <w:color w:val="auto"/>
          <w:sz w:val="28"/>
          <w:szCs w:val="28"/>
          <w:highlight w:val="none"/>
        </w:rPr>
      </w:pPr>
    </w:p>
    <w:p w14:paraId="51B12B05">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"1-1" \h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_Toc18690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rPr>
        <w:tab/>
      </w:r>
      <w:r>
        <w:rPr>
          <w:sz w:val="28"/>
          <w:szCs w:val="28"/>
        </w:rPr>
        <w:fldChar w:fldCharType="begin"/>
      </w:r>
      <w:r>
        <w:rPr>
          <w:sz w:val="28"/>
          <w:szCs w:val="28"/>
        </w:rPr>
        <w:instrText xml:space="preserve"> PAGEREF _Toc18690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CBA59FE">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_Toc8824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 xml:space="preserve">第二章  </w:t>
      </w:r>
      <w:r>
        <w:rPr>
          <w:rFonts w:hint="eastAsia" w:ascii="Times New Roman" w:hAnsi="Times New Roman"/>
          <w:sz w:val="28"/>
          <w:szCs w:val="28"/>
          <w:highlight w:val="none"/>
          <w:lang w:eastAsia="zh-CN"/>
        </w:rPr>
        <w:t>供应商</w:t>
      </w:r>
      <w:r>
        <w:rPr>
          <w:rFonts w:ascii="Times New Roman" w:hAnsi="Times New Roman"/>
          <w:sz w:val="28"/>
          <w:szCs w:val="28"/>
          <w:highlight w:val="none"/>
        </w:rPr>
        <w:t>须知</w:t>
      </w:r>
      <w:r>
        <w:rPr>
          <w:sz w:val="28"/>
          <w:szCs w:val="28"/>
        </w:rPr>
        <w:tab/>
      </w:r>
      <w:r>
        <w:rPr>
          <w:sz w:val="28"/>
          <w:szCs w:val="28"/>
        </w:rPr>
        <w:fldChar w:fldCharType="begin"/>
      </w:r>
      <w:r>
        <w:rPr>
          <w:sz w:val="28"/>
          <w:szCs w:val="28"/>
        </w:rPr>
        <w:instrText xml:space="preserve"> PAGEREF _Toc8824 \h </w:instrText>
      </w:r>
      <w:r>
        <w:rPr>
          <w:sz w:val="28"/>
          <w:szCs w:val="28"/>
        </w:rPr>
        <w:fldChar w:fldCharType="separate"/>
      </w:r>
      <w:r>
        <w:rPr>
          <w:sz w:val="28"/>
          <w:szCs w:val="28"/>
        </w:rPr>
        <w:t>9</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2702C60">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_Toc13335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rPr>
        <w:tab/>
      </w:r>
      <w:r>
        <w:rPr>
          <w:sz w:val="28"/>
          <w:szCs w:val="28"/>
        </w:rPr>
        <w:fldChar w:fldCharType="begin"/>
      </w:r>
      <w:r>
        <w:rPr>
          <w:sz w:val="28"/>
          <w:szCs w:val="28"/>
        </w:rPr>
        <w:instrText xml:space="preserve"> PAGEREF _Toc13335 \h </w:instrText>
      </w:r>
      <w:r>
        <w:rPr>
          <w:sz w:val="28"/>
          <w:szCs w:val="28"/>
        </w:rPr>
        <w:fldChar w:fldCharType="separate"/>
      </w:r>
      <w:r>
        <w:rPr>
          <w:sz w:val="28"/>
          <w:szCs w:val="28"/>
        </w:rPr>
        <w:t>15</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6B27A1B4">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_Toc27474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rPr>
        <w:tab/>
      </w:r>
      <w:r>
        <w:rPr>
          <w:sz w:val="28"/>
          <w:szCs w:val="28"/>
        </w:rPr>
        <w:fldChar w:fldCharType="begin"/>
      </w:r>
      <w:r>
        <w:rPr>
          <w:sz w:val="28"/>
          <w:szCs w:val="28"/>
        </w:rPr>
        <w:instrText xml:space="preserve"> PAGEREF _Toc27474 \h </w:instrText>
      </w:r>
      <w:r>
        <w:rPr>
          <w:sz w:val="28"/>
          <w:szCs w:val="28"/>
        </w:rPr>
        <w:fldChar w:fldCharType="separate"/>
      </w:r>
      <w:r>
        <w:rPr>
          <w:sz w:val="28"/>
          <w:szCs w:val="28"/>
        </w:rPr>
        <w:t>20</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617E1A4A">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_Toc19760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rPr>
        <w:tab/>
      </w:r>
      <w:r>
        <w:rPr>
          <w:sz w:val="28"/>
          <w:szCs w:val="28"/>
        </w:rPr>
        <w:fldChar w:fldCharType="begin"/>
      </w:r>
      <w:r>
        <w:rPr>
          <w:sz w:val="28"/>
          <w:szCs w:val="28"/>
        </w:rPr>
        <w:instrText xml:space="preserve"> PAGEREF _Toc19760 \h </w:instrText>
      </w:r>
      <w:r>
        <w:rPr>
          <w:sz w:val="28"/>
          <w:szCs w:val="28"/>
        </w:rPr>
        <w:fldChar w:fldCharType="separate"/>
      </w:r>
      <w:r>
        <w:rPr>
          <w:sz w:val="28"/>
          <w:szCs w:val="28"/>
        </w:rPr>
        <w:t>26</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0BC83557">
      <w:pPr>
        <w:pStyle w:val="32"/>
        <w:tabs>
          <w:tab w:val="right" w:leader="dot" w:pos="9297"/>
        </w:tabs>
        <w:rPr>
          <w:sz w:val="28"/>
          <w:szCs w:val="28"/>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_Toc4583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rPr>
        <w:tab/>
      </w:r>
      <w:r>
        <w:rPr>
          <w:sz w:val="28"/>
          <w:szCs w:val="28"/>
        </w:rPr>
        <w:fldChar w:fldCharType="begin"/>
      </w:r>
      <w:r>
        <w:rPr>
          <w:sz w:val="28"/>
          <w:szCs w:val="28"/>
        </w:rPr>
        <w:instrText xml:space="preserve"> PAGEREF _Toc4583 \h </w:instrText>
      </w:r>
      <w:r>
        <w:rPr>
          <w:sz w:val="28"/>
          <w:szCs w:val="28"/>
        </w:rPr>
        <w:fldChar w:fldCharType="separate"/>
      </w:r>
      <w:r>
        <w:rPr>
          <w:sz w:val="28"/>
          <w:szCs w:val="28"/>
        </w:rPr>
        <w:t>27</w:t>
      </w:r>
      <w:r>
        <w:rPr>
          <w:sz w:val="28"/>
          <w:szCs w:val="28"/>
        </w:rPr>
        <w:fldChar w:fldCharType="end"/>
      </w:r>
      <w:r>
        <w:rPr>
          <w:rFonts w:hint="eastAsia" w:asciiTheme="minorEastAsia" w:hAnsiTheme="minorEastAsia" w:eastAsiaTheme="minorEastAsia" w:cstheme="minorEastAsia"/>
          <w:color w:val="auto"/>
          <w:sz w:val="28"/>
          <w:szCs w:val="28"/>
          <w:highlight w:val="none"/>
        </w:rPr>
        <w:fldChar w:fldCharType="end"/>
      </w:r>
    </w:p>
    <w:p w14:paraId="2502C650">
      <w:pPr>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end"/>
      </w:r>
    </w:p>
    <w:p w14:paraId="15D0F05E">
      <w:pPr>
        <w:jc w:val="center"/>
        <w:rPr>
          <w:color w:val="auto"/>
          <w:sz w:val="28"/>
          <w:szCs w:val="28"/>
          <w:highlight w:val="none"/>
        </w:rPr>
      </w:pPr>
    </w:p>
    <w:p w14:paraId="7E46B41A">
      <w:pPr>
        <w:spacing w:line="440" w:lineRule="exact"/>
        <w:jc w:val="center"/>
        <w:rPr>
          <w:color w:val="auto"/>
          <w:sz w:val="44"/>
          <w:szCs w:val="44"/>
          <w:highlight w:val="none"/>
        </w:rPr>
      </w:pPr>
      <w:bookmarkStart w:id="345" w:name="_GoBack"/>
      <w:bookmarkEnd w:id="345"/>
    </w:p>
    <w:p w14:paraId="2B254146">
      <w:pPr>
        <w:tabs>
          <w:tab w:val="left" w:pos="2604"/>
        </w:tabs>
        <w:spacing w:line="440" w:lineRule="exact"/>
        <w:jc w:val="left"/>
        <w:rPr>
          <w:color w:val="auto"/>
          <w:sz w:val="44"/>
          <w:szCs w:val="44"/>
          <w:highlight w:val="none"/>
        </w:rPr>
      </w:pPr>
      <w:r>
        <w:rPr>
          <w:rFonts w:hint="eastAsia"/>
          <w:color w:val="auto"/>
          <w:sz w:val="44"/>
          <w:szCs w:val="44"/>
          <w:highlight w:val="none"/>
        </w:rPr>
        <w:tab/>
      </w:r>
    </w:p>
    <w:p w14:paraId="6B64C163">
      <w:pPr>
        <w:spacing w:line="440" w:lineRule="exact"/>
        <w:jc w:val="center"/>
        <w:rPr>
          <w:color w:val="auto"/>
          <w:sz w:val="44"/>
          <w:szCs w:val="44"/>
          <w:highlight w:val="none"/>
        </w:rPr>
      </w:pPr>
    </w:p>
    <w:p w14:paraId="2DC1BEB0">
      <w:pPr>
        <w:spacing w:line="440" w:lineRule="exact"/>
        <w:jc w:val="center"/>
        <w:rPr>
          <w:color w:val="auto"/>
          <w:sz w:val="44"/>
          <w:szCs w:val="44"/>
          <w:highlight w:val="none"/>
        </w:rPr>
      </w:pPr>
    </w:p>
    <w:p w14:paraId="6575FB31">
      <w:pPr>
        <w:spacing w:line="440" w:lineRule="exact"/>
        <w:jc w:val="center"/>
        <w:rPr>
          <w:color w:val="auto"/>
          <w:sz w:val="44"/>
          <w:szCs w:val="44"/>
          <w:highlight w:val="none"/>
        </w:rPr>
      </w:pPr>
    </w:p>
    <w:p w14:paraId="089A384A">
      <w:pPr>
        <w:spacing w:line="440" w:lineRule="exact"/>
        <w:jc w:val="center"/>
        <w:rPr>
          <w:color w:val="auto"/>
          <w:sz w:val="44"/>
          <w:szCs w:val="44"/>
          <w:highlight w:val="none"/>
        </w:rPr>
      </w:pPr>
    </w:p>
    <w:p w14:paraId="7B1401C3">
      <w:pPr>
        <w:spacing w:line="440" w:lineRule="exact"/>
        <w:jc w:val="center"/>
        <w:rPr>
          <w:color w:val="auto"/>
          <w:sz w:val="44"/>
          <w:szCs w:val="44"/>
          <w:highlight w:val="none"/>
        </w:rPr>
      </w:pPr>
    </w:p>
    <w:p w14:paraId="38F7EBE1">
      <w:pPr>
        <w:spacing w:line="440" w:lineRule="exact"/>
        <w:jc w:val="center"/>
        <w:rPr>
          <w:color w:val="auto"/>
          <w:sz w:val="44"/>
          <w:szCs w:val="44"/>
          <w:highlight w:val="none"/>
        </w:rPr>
      </w:pPr>
    </w:p>
    <w:p w14:paraId="01D37A22">
      <w:pPr>
        <w:spacing w:line="440" w:lineRule="exact"/>
        <w:jc w:val="center"/>
        <w:rPr>
          <w:color w:val="auto"/>
          <w:sz w:val="44"/>
          <w:szCs w:val="44"/>
          <w:highlight w:val="none"/>
        </w:rPr>
      </w:pPr>
    </w:p>
    <w:p w14:paraId="27C10D53">
      <w:pPr>
        <w:pStyle w:val="38"/>
        <w:rPr>
          <w:rFonts w:ascii="Times New Roman" w:hAnsi="Times New Roman"/>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bookmarkStart w:id="0" w:name="_Toc17959"/>
      <w:bookmarkStart w:id="1" w:name="_Toc9951095"/>
      <w:bookmarkStart w:id="2" w:name="_Toc5274"/>
      <w:bookmarkStart w:id="3" w:name="_Toc19769"/>
    </w:p>
    <w:p w14:paraId="582C277D">
      <w:pPr>
        <w:pStyle w:val="2"/>
        <w:jc w:val="center"/>
        <w:rPr>
          <w:color w:val="auto"/>
          <w:kern w:val="0"/>
          <w:sz w:val="32"/>
          <w:szCs w:val="32"/>
          <w:highlight w:val="none"/>
        </w:rPr>
      </w:pPr>
      <w:bookmarkStart w:id="4" w:name="_Toc22852"/>
      <w:bookmarkStart w:id="5" w:name="_Toc12598"/>
      <w:bookmarkStart w:id="6" w:name="_Toc17368"/>
      <w:bookmarkStart w:id="7" w:name="_Toc9333"/>
      <w:bookmarkStart w:id="8" w:name="_Toc6511"/>
      <w:bookmarkStart w:id="9" w:name="_Toc30820"/>
      <w:bookmarkStart w:id="10" w:name="_Toc31024"/>
      <w:bookmarkStart w:id="11" w:name="_Toc30082"/>
      <w:bookmarkStart w:id="12" w:name="_Toc31946"/>
      <w:bookmarkStart w:id="13" w:name="_Toc32314"/>
      <w:bookmarkStart w:id="14" w:name="_Toc21542"/>
      <w:bookmarkStart w:id="15" w:name="_Toc21219"/>
      <w:bookmarkStart w:id="16" w:name="_Toc17753"/>
      <w:bookmarkStart w:id="17" w:name="_Toc839"/>
      <w:bookmarkStart w:id="18" w:name="_Toc9062"/>
      <w:bookmarkStart w:id="19" w:name="_Toc11733"/>
      <w:bookmarkStart w:id="20" w:name="_Toc23466"/>
      <w:bookmarkStart w:id="21" w:name="_Toc25639"/>
      <w:bookmarkStart w:id="22" w:name="_Toc5458"/>
      <w:bookmarkStart w:id="23" w:name="_Toc2196"/>
      <w:bookmarkStart w:id="24" w:name="_Toc3937"/>
      <w:bookmarkStart w:id="25" w:name="_Toc27333"/>
      <w:bookmarkStart w:id="26" w:name="_Toc26703"/>
      <w:bookmarkStart w:id="27" w:name="_Toc25509"/>
      <w:bookmarkStart w:id="28" w:name="_Toc25041"/>
      <w:bookmarkStart w:id="29" w:name="_Toc1977"/>
      <w:bookmarkStart w:id="30" w:name="_Toc4370"/>
      <w:bookmarkStart w:id="31" w:name="_Toc12004"/>
      <w:bookmarkStart w:id="32" w:name="_Toc3861"/>
      <w:bookmarkStart w:id="33" w:name="_Toc26058"/>
      <w:bookmarkStart w:id="34" w:name="_Toc16108"/>
      <w:bookmarkStart w:id="35" w:name="_Toc11228"/>
      <w:bookmarkStart w:id="36" w:name="_Toc13293"/>
      <w:bookmarkStart w:id="37" w:name="_Toc21020"/>
      <w:bookmarkStart w:id="38" w:name="_Toc27674"/>
      <w:bookmarkStart w:id="39" w:name="_Toc5259"/>
      <w:bookmarkStart w:id="40" w:name="_Toc9179"/>
      <w:bookmarkStart w:id="41" w:name="_Toc21138"/>
      <w:bookmarkStart w:id="42" w:name="_Toc7903"/>
      <w:bookmarkStart w:id="43" w:name="_Toc1848"/>
      <w:bookmarkStart w:id="44" w:name="_Toc14678"/>
      <w:bookmarkStart w:id="45" w:name="_Toc18582"/>
      <w:bookmarkStart w:id="46" w:name="_Toc6778"/>
      <w:bookmarkStart w:id="47" w:name="_Toc12739"/>
      <w:bookmarkStart w:id="48" w:name="_Toc9308"/>
      <w:bookmarkStart w:id="49" w:name="_Toc18955"/>
      <w:bookmarkStart w:id="50" w:name="_Toc18690"/>
      <w:r>
        <w:rPr>
          <w:rFonts w:hint="eastAsia"/>
          <w:color w:val="auto"/>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color w:val="auto"/>
          <w:kern w:val="0"/>
          <w:sz w:val="32"/>
          <w:szCs w:val="32"/>
          <w:highlight w:val="none"/>
        </w:rPr>
        <w:t>竞争性磋商</w:t>
      </w:r>
      <w:bookmarkEnd w:id="43"/>
      <w:bookmarkEnd w:id="44"/>
      <w:r>
        <w:rPr>
          <w:rFonts w:hint="eastAsia"/>
          <w:color w:val="auto"/>
          <w:kern w:val="0"/>
          <w:sz w:val="32"/>
          <w:szCs w:val="32"/>
          <w:highlight w:val="none"/>
        </w:rPr>
        <w:t>公告</w:t>
      </w:r>
      <w:bookmarkEnd w:id="45"/>
      <w:bookmarkEnd w:id="46"/>
      <w:bookmarkEnd w:id="47"/>
      <w:bookmarkEnd w:id="48"/>
      <w:bookmarkEnd w:id="49"/>
      <w:bookmarkEnd w:id="50"/>
    </w:p>
    <w:p w14:paraId="5F3BD49E">
      <w:pPr>
        <w:spacing w:line="400" w:lineRule="exact"/>
        <w:ind w:firstLine="560" w:firstLineChars="200"/>
        <w:jc w:val="center"/>
        <w:rPr>
          <w:rFonts w:hint="eastAsia" w:ascii="宋体" w:hAnsi="宋体" w:eastAsia="宋体" w:cs="宋体"/>
          <w:color w:val="auto"/>
          <w:highlight w:val="none"/>
        </w:rPr>
      </w:pPr>
      <w:r>
        <w:rPr>
          <w:rFonts w:hint="eastAsia" w:ascii="宋体" w:hAnsi="宋体" w:cs="宋体"/>
          <w:color w:val="auto"/>
          <w:sz w:val="28"/>
          <w:szCs w:val="28"/>
          <w:highlight w:val="none"/>
          <w:lang w:val="en-US" w:eastAsia="zh-CN"/>
        </w:rPr>
        <w:t>桂林银行</w:t>
      </w:r>
      <w:r>
        <w:rPr>
          <w:rFonts w:hint="eastAsia" w:ascii="宋体" w:hAnsi="宋体" w:cs="宋体"/>
          <w:color w:val="auto"/>
          <w:sz w:val="28"/>
          <w:szCs w:val="28"/>
          <w:highlight w:val="none"/>
          <w:lang w:eastAsia="zh-CN"/>
        </w:rPr>
        <w:t>中国-东盟金融人工智能服务共享网络节点建设项目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GYJC202</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lang w:val="en-US" w:eastAsia="zh-CN"/>
        </w:rPr>
        <w:t>014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竞争性磋商公告</w:t>
      </w:r>
    </w:p>
    <w:p w14:paraId="2E37E9C9">
      <w:pPr>
        <w:pStyle w:val="50"/>
        <w:keepNext w:val="0"/>
        <w:keepLines w:val="0"/>
        <w:pageBreakBefore w:val="0"/>
        <w:kinsoku/>
        <w:overflowPunct/>
        <w:topLinePunct w:val="0"/>
        <w:autoSpaceDE/>
        <w:autoSpaceDN/>
        <w:bidi w:val="0"/>
        <w:adjustRightInd/>
        <w:snapToGrid w:val="0"/>
        <w:spacing w:after="0" w:line="400" w:lineRule="exact"/>
        <w:ind w:left="0" w:leftChars="0" w:firstLine="460" w:firstLineChars="200"/>
        <w:jc w:val="both"/>
        <w:textAlignment w:val="auto"/>
        <w:rPr>
          <w:rFonts w:hint="eastAsia" w:ascii="宋体" w:hAnsi="宋体" w:eastAsia="宋体" w:cs="宋体"/>
          <w:color w:val="auto"/>
          <w:sz w:val="21"/>
          <w:szCs w:val="21"/>
          <w:highlight w:val="none"/>
        </w:rPr>
      </w:pPr>
    </w:p>
    <w:p w14:paraId="582122E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桂林银行股份有限公司对</w:t>
      </w:r>
      <w:r>
        <w:rPr>
          <w:rFonts w:hint="eastAsia" w:ascii="宋体" w:hAnsi="宋体" w:cs="宋体"/>
          <w:color w:val="auto"/>
          <w:sz w:val="21"/>
          <w:szCs w:val="21"/>
          <w:highlight w:val="none"/>
          <w:lang w:val="en-US" w:eastAsia="zh-CN"/>
        </w:rPr>
        <w:t>桂林银行</w:t>
      </w:r>
      <w:r>
        <w:rPr>
          <w:rFonts w:hint="eastAsia" w:ascii="宋体" w:hAnsi="宋体" w:cs="宋体"/>
          <w:color w:val="auto"/>
          <w:sz w:val="21"/>
          <w:szCs w:val="21"/>
          <w:highlight w:val="none"/>
          <w:lang w:eastAsia="zh-CN"/>
        </w:rPr>
        <w:t>中国-东盟金融人工智能服务共享网络节点建设项目</w:t>
      </w:r>
      <w:r>
        <w:rPr>
          <w:rFonts w:hint="eastAsia" w:ascii="宋体" w:hAnsi="宋体" w:eastAsia="宋体" w:cs="宋体"/>
          <w:color w:val="auto"/>
          <w:sz w:val="21"/>
          <w:szCs w:val="21"/>
          <w:highlight w:val="none"/>
        </w:rPr>
        <w:t>进行竞争性磋商，有关事项公告如下：</w:t>
      </w:r>
    </w:p>
    <w:p w14:paraId="1DD60CB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一、磋商项目：</w:t>
      </w:r>
      <w:r>
        <w:rPr>
          <w:rFonts w:hint="eastAsia" w:ascii="宋体" w:hAnsi="宋体" w:cs="宋体"/>
          <w:b/>
          <w:bCs/>
          <w:color w:val="auto"/>
          <w:sz w:val="21"/>
          <w:szCs w:val="21"/>
          <w:highlight w:val="none"/>
          <w:lang w:val="en-US" w:eastAsia="zh-CN"/>
        </w:rPr>
        <w:t>桂林银行</w:t>
      </w:r>
      <w:r>
        <w:rPr>
          <w:rFonts w:hint="eastAsia" w:ascii="宋体" w:hAnsi="宋体" w:cs="宋体"/>
          <w:b/>
          <w:bCs/>
          <w:color w:val="auto"/>
          <w:sz w:val="21"/>
          <w:szCs w:val="21"/>
          <w:highlight w:val="none"/>
          <w:lang w:eastAsia="zh-CN"/>
        </w:rPr>
        <w:t>中国-东盟金融人工智能服务共享网络节点建设项目</w:t>
      </w:r>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sz w:val="21"/>
          <w:szCs w:val="21"/>
          <w:highlight w:val="none"/>
        </w:rPr>
        <w:t xml:space="preserve">     </w:t>
      </w:r>
    </w:p>
    <w:p w14:paraId="6A8FFA7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二、项目编号：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014</w:t>
      </w:r>
    </w:p>
    <w:p w14:paraId="0EBE55D0">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三、采购内容：</w:t>
      </w:r>
      <w:r>
        <w:rPr>
          <w:rFonts w:hint="eastAsia" w:ascii="宋体" w:hAnsi="宋体" w:cs="宋体"/>
          <w:color w:val="auto"/>
          <w:sz w:val="21"/>
          <w:szCs w:val="21"/>
          <w:highlight w:val="none"/>
          <w:lang w:val="en-US" w:eastAsia="zh-CN"/>
        </w:rPr>
        <w:t>为完成</w:t>
      </w:r>
      <w:r>
        <w:rPr>
          <w:rFonts w:hint="eastAsia" w:ascii="宋体" w:hAnsi="宋体" w:eastAsia="宋体" w:cs="宋体"/>
          <w:color w:val="auto"/>
          <w:sz w:val="21"/>
          <w:szCs w:val="21"/>
          <w:highlight w:val="none"/>
          <w:lang w:val="en-US" w:eastAsia="zh-CN"/>
        </w:rPr>
        <w:t>中国—东盟金融人工智能服务共享网络</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en-US" w:eastAsia="zh-CN"/>
        </w:rPr>
        <w:t>算力节点与应用节点的建设</w:t>
      </w:r>
      <w:r>
        <w:rPr>
          <w:rFonts w:hint="eastAsia" w:ascii="宋体" w:hAnsi="宋体" w:cs="宋体"/>
          <w:color w:val="auto"/>
          <w:sz w:val="21"/>
          <w:szCs w:val="21"/>
          <w:highlight w:val="none"/>
          <w:lang w:val="en-US" w:eastAsia="zh-CN"/>
        </w:rPr>
        <w:t>，需采购可信</w:t>
      </w:r>
      <w:r>
        <w:rPr>
          <w:rFonts w:hint="eastAsia" w:ascii="宋体" w:hAnsi="宋体" w:eastAsia="宋体" w:cs="宋体"/>
          <w:color w:val="auto"/>
          <w:sz w:val="21"/>
          <w:szCs w:val="21"/>
          <w:highlight w:val="none"/>
          <w:lang w:val="en-US" w:eastAsia="zh-CN"/>
        </w:rPr>
        <w:t>算力节点管理平台</w:t>
      </w:r>
      <w:r>
        <w:rPr>
          <w:rFonts w:hint="eastAsia" w:ascii="宋体" w:hAnsi="宋体" w:cs="宋体"/>
          <w:color w:val="auto"/>
          <w:sz w:val="21"/>
          <w:szCs w:val="21"/>
          <w:highlight w:val="none"/>
          <w:lang w:val="en-US" w:eastAsia="zh-CN"/>
        </w:rPr>
        <w:t>和可信</w:t>
      </w:r>
      <w:r>
        <w:rPr>
          <w:rFonts w:hint="eastAsia" w:ascii="宋体" w:hAnsi="宋体" w:eastAsia="宋体" w:cs="宋体"/>
          <w:color w:val="auto"/>
          <w:sz w:val="21"/>
          <w:szCs w:val="21"/>
          <w:highlight w:val="none"/>
          <w:lang w:val="en-US" w:eastAsia="zh-CN"/>
        </w:rPr>
        <w:t>应用节点管理平台</w:t>
      </w:r>
      <w:r>
        <w:rPr>
          <w:rFonts w:hint="eastAsia" w:ascii="宋体" w:hAnsi="宋体" w:cs="宋体"/>
          <w:color w:val="auto"/>
          <w:sz w:val="21"/>
          <w:szCs w:val="21"/>
          <w:highlight w:val="none"/>
          <w:lang w:val="en-US" w:eastAsia="zh-CN"/>
        </w:rPr>
        <w:t>软件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如需进一步了解详细内容，详见磋商文件。</w:t>
      </w:r>
    </w:p>
    <w:p w14:paraId="49BFB38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四、预算金额：</w:t>
      </w:r>
      <w:r>
        <w:rPr>
          <w:rFonts w:hint="eastAsia" w:ascii="宋体" w:hAnsi="宋体" w:cs="宋体"/>
          <w:b/>
          <w:bCs/>
          <w:color w:val="auto"/>
          <w:sz w:val="21"/>
          <w:szCs w:val="21"/>
          <w:highlight w:val="none"/>
          <w:lang w:val="en-US" w:eastAsia="zh-CN"/>
        </w:rPr>
        <w:t>75</w:t>
      </w:r>
      <w:r>
        <w:rPr>
          <w:rFonts w:hint="eastAsia" w:ascii="宋体" w:hAnsi="宋体" w:eastAsia="宋体" w:cs="宋体"/>
          <w:b/>
          <w:bCs/>
          <w:color w:val="auto"/>
          <w:sz w:val="21"/>
          <w:szCs w:val="21"/>
          <w:highlight w:val="none"/>
        </w:rPr>
        <w:t>万元</w:t>
      </w:r>
    </w:p>
    <w:p w14:paraId="4198633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资格要求</w:t>
      </w:r>
    </w:p>
    <w:p w14:paraId="6A83B81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1.在中华人民共和国境内依法注册，具合法资格的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60F35FB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2.单位负责人为同一人或者存在直接控股、管理关系的不同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，不得参加同一合同项下的采购活动。</w:t>
      </w:r>
    </w:p>
    <w:p w14:paraId="625CEB3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kern w:val="0"/>
          <w:sz w:val="21"/>
          <w:szCs w:val="21"/>
          <w:highlight w:val="none"/>
        </w:rPr>
        <w:t>具有履行合同所必需的设备和专业技术能力。</w:t>
      </w:r>
    </w:p>
    <w:p w14:paraId="5799F36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sz w:val="21"/>
          <w:szCs w:val="21"/>
          <w:highlight w:val="none"/>
        </w:rPr>
        <w:t>供应商参加本采购活动前3年内在经营活动中没有重大违法记录</w:t>
      </w:r>
      <w:r>
        <w:rPr>
          <w:rFonts w:hint="eastAsia" w:ascii="宋体" w:hAnsi="宋体" w:eastAsia="宋体" w:cs="宋体"/>
          <w:color w:val="auto"/>
          <w:kern w:val="0"/>
          <w:sz w:val="21"/>
          <w:szCs w:val="21"/>
          <w:highlight w:val="none"/>
        </w:rPr>
        <w:t>。</w:t>
      </w:r>
    </w:p>
    <w:p w14:paraId="77A85B3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对在“信用中国”网站(www.creditchina.gov.cn)渠道列入失信被执行人、重大税收违法失信主体、采购严重违法失信行为记录名单的供应商，不得参与本采购活动</w:t>
      </w:r>
      <w:r>
        <w:rPr>
          <w:rFonts w:hint="eastAsia" w:ascii="宋体" w:hAnsi="宋体" w:eastAsia="宋体" w:cs="宋体"/>
          <w:color w:val="auto"/>
          <w:kern w:val="0"/>
          <w:sz w:val="21"/>
          <w:szCs w:val="21"/>
          <w:highlight w:val="none"/>
        </w:rPr>
        <w:t>。</w:t>
      </w:r>
    </w:p>
    <w:p w14:paraId="2C9FD8B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6.本项目不接受联合体</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w:t>
      </w:r>
    </w:p>
    <w:p w14:paraId="1EF077E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六、磋商文件的获取：</w:t>
      </w:r>
    </w:p>
    <w:p w14:paraId="09D7B8A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1.获取时间：请潜在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于本公告有效期限内</w:t>
      </w:r>
      <w:r>
        <w:rPr>
          <w:rFonts w:hint="eastAsia" w:ascii="宋体" w:hAnsi="宋体" w:eastAsia="宋体" w:cs="宋体"/>
          <w:color w:val="auto"/>
          <w:sz w:val="21"/>
          <w:szCs w:val="21"/>
          <w:highlight w:val="none"/>
          <w:lang w:val="en-US" w:eastAsia="zh-CN"/>
        </w:rPr>
        <w:t>获取</w:t>
      </w:r>
      <w:r>
        <w:rPr>
          <w:rFonts w:hint="eastAsia" w:ascii="宋体" w:hAnsi="宋体" w:eastAsia="宋体" w:cs="宋体"/>
          <w:color w:val="auto"/>
          <w:sz w:val="21"/>
          <w:szCs w:val="21"/>
          <w:highlight w:val="none"/>
        </w:rPr>
        <w:t>，即</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18</w:t>
      </w:r>
      <w:r>
        <w:rPr>
          <w:rFonts w:hint="eastAsia" w:ascii="宋体" w:hAnsi="宋体" w:eastAsia="宋体" w:cs="宋体"/>
          <w:b/>
          <w:bCs/>
          <w:color w:val="auto"/>
          <w:sz w:val="21"/>
          <w:szCs w:val="21"/>
          <w:highlight w:val="none"/>
        </w:rPr>
        <w:t>日至202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23</w:t>
      </w:r>
      <w:r>
        <w:rPr>
          <w:rFonts w:hint="eastAsia" w:ascii="宋体" w:hAnsi="宋体" w:eastAsia="宋体" w:cs="宋体"/>
          <w:b/>
          <w:bCs/>
          <w:color w:val="auto"/>
          <w:sz w:val="21"/>
          <w:szCs w:val="21"/>
          <w:highlight w:val="none"/>
        </w:rPr>
        <w:t>日17时止（北京时间）</w:t>
      </w:r>
    </w:p>
    <w:p w14:paraId="62E289B6">
      <w:pPr>
        <w:keepNext w:val="0"/>
        <w:keepLines w:val="0"/>
        <w:pageBreakBefore w:val="0"/>
        <w:kinsoku/>
        <w:overflowPunct/>
        <w:topLinePunct w:val="0"/>
        <w:autoSpaceDE/>
        <w:autoSpaceDN/>
        <w:bidi w:val="0"/>
        <w:adjustRightInd/>
        <w:snapToGrid w:val="0"/>
        <w:spacing w:line="400" w:lineRule="exact"/>
        <w:ind w:left="0" w:lef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2.获取方式：在线获取。</w:t>
      </w:r>
    </w:p>
    <w:p w14:paraId="6A8BBA5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登陆</w:t>
      </w:r>
      <w:r>
        <w:rPr>
          <w:rFonts w:hint="eastAsia" w:ascii="宋体" w:hAnsi="宋体" w:eastAsia="宋体" w:cs="宋体"/>
          <w:color w:val="auto"/>
          <w:kern w:val="0"/>
          <w:sz w:val="21"/>
          <w:szCs w:val="21"/>
          <w:highlight w:val="none"/>
        </w:rPr>
        <w:t>桂林银行股份有限公司官网（https://www.guilinbank.com.cn/），在线下载完成</w:t>
      </w:r>
      <w:r>
        <w:rPr>
          <w:rFonts w:hint="eastAsia" w:ascii="宋体" w:hAnsi="宋体" w:eastAsia="宋体" w:cs="宋体"/>
          <w:color w:val="auto"/>
          <w:kern w:val="0"/>
          <w:sz w:val="21"/>
          <w:szCs w:val="21"/>
          <w:highlight w:val="none"/>
          <w:lang w:val="en-US" w:eastAsia="zh-CN"/>
        </w:rPr>
        <w:t>磋商</w:t>
      </w:r>
      <w:r>
        <w:rPr>
          <w:rFonts w:hint="eastAsia" w:ascii="宋体" w:hAnsi="宋体" w:eastAsia="宋体" w:cs="宋体"/>
          <w:color w:val="auto"/>
          <w:kern w:val="0"/>
          <w:sz w:val="21"/>
          <w:szCs w:val="21"/>
          <w:highlight w:val="none"/>
        </w:rPr>
        <w:t>文件的获取。获取方式：网站首页“关于桂银”之“集采专栏—招标公告”栏目中点击下载。</w:t>
      </w:r>
    </w:p>
    <w:p w14:paraId="47888370">
      <w:pPr>
        <w:pStyle w:val="18"/>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23</w:t>
      </w:r>
      <w:r>
        <w:rPr>
          <w:rFonts w:hint="eastAsia" w:ascii="宋体" w:hAnsi="宋体" w:eastAsia="宋体" w:cs="宋体"/>
          <w:b/>
          <w:bCs/>
          <w:color w:val="auto"/>
          <w:sz w:val="21"/>
          <w:szCs w:val="21"/>
          <w:highlight w:val="none"/>
        </w:rPr>
        <w:t>日17时前（北京时间）</w:t>
      </w:r>
      <w:r>
        <w:rPr>
          <w:rFonts w:hint="eastAsia" w:ascii="宋体" w:hAnsi="宋体" w:eastAsia="宋体" w:cs="宋体"/>
          <w:color w:val="auto"/>
          <w:sz w:val="21"/>
          <w:szCs w:val="21"/>
          <w:highlight w:val="none"/>
        </w:rPr>
        <w:t>发送至</w:t>
      </w:r>
      <w:r>
        <w:rPr>
          <w:rFonts w:hint="eastAsia" w:ascii="宋体" w:hAnsi="宋体" w:eastAsia="宋体" w:cs="宋体"/>
          <w:b/>
          <w:bCs/>
          <w:color w:val="auto"/>
          <w:sz w:val="21"/>
          <w:szCs w:val="21"/>
          <w:highlight w:val="none"/>
        </w:rPr>
        <w:t>jiczx@guilinbank.com.cn邮箱完成登记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逾期将不予受理</w:t>
      </w:r>
      <w:r>
        <w:rPr>
          <w:rFonts w:hint="eastAsia" w:ascii="宋体" w:hAnsi="宋体" w:eastAsia="宋体" w:cs="宋体"/>
          <w:color w:val="auto"/>
          <w:sz w:val="21"/>
          <w:szCs w:val="21"/>
          <w:highlight w:val="none"/>
        </w:rPr>
        <w:t>。</w:t>
      </w:r>
    </w:p>
    <w:p w14:paraId="109E59F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七、响应文件递交截止时间和地点：</w:t>
      </w:r>
    </w:p>
    <w:p w14:paraId="2EC0DC5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1.响应文件递交开始时间：</w:t>
      </w:r>
      <w:r>
        <w:rPr>
          <w:rFonts w:hint="eastAsia" w:ascii="宋体" w:hAnsi="宋体" w:eastAsia="宋体" w:cs="宋体"/>
          <w:b/>
          <w:bCs/>
          <w:color w:val="auto"/>
          <w:kern w:val="0"/>
          <w:sz w:val="21"/>
          <w:szCs w:val="21"/>
          <w:highlight w:val="none"/>
        </w:rPr>
        <w:t>20</w:t>
      </w:r>
      <w:r>
        <w:rPr>
          <w:rFonts w:hint="eastAsia" w:ascii="宋体" w:hAnsi="宋体" w:cs="宋体"/>
          <w:b/>
          <w:bCs/>
          <w:color w:val="auto"/>
          <w:kern w:val="0"/>
          <w:sz w:val="21"/>
          <w:szCs w:val="21"/>
          <w:highlight w:val="none"/>
          <w:lang w:val="en-US" w:eastAsia="zh-CN"/>
        </w:rPr>
        <w:t>26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29</w:t>
      </w:r>
      <w:r>
        <w:rPr>
          <w:rFonts w:hint="eastAsia" w:ascii="宋体" w:hAnsi="宋体" w:eastAsia="宋体" w:cs="宋体"/>
          <w:b/>
          <w:bCs/>
          <w:color w:val="auto"/>
          <w:kern w:val="0"/>
          <w:sz w:val="21"/>
          <w:szCs w:val="21"/>
          <w:highlight w:val="none"/>
        </w:rPr>
        <w:t>日08时45分</w:t>
      </w:r>
      <w:r>
        <w:rPr>
          <w:rFonts w:hint="eastAsia" w:ascii="宋体" w:hAnsi="宋体" w:eastAsia="宋体" w:cs="宋体"/>
          <w:color w:val="auto"/>
          <w:kern w:val="0"/>
          <w:sz w:val="21"/>
          <w:szCs w:val="21"/>
          <w:highlight w:val="none"/>
        </w:rPr>
        <w:t>（北京时间）。</w:t>
      </w:r>
    </w:p>
    <w:p w14:paraId="43F169B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2.响应文件递交截止时间：</w:t>
      </w:r>
      <w:r>
        <w:rPr>
          <w:rFonts w:hint="eastAsia" w:ascii="宋体" w:hAnsi="宋体" w:eastAsia="宋体" w:cs="宋体"/>
          <w:b/>
          <w:bCs/>
          <w:color w:val="auto"/>
          <w:kern w:val="0"/>
          <w:sz w:val="21"/>
          <w:szCs w:val="21"/>
          <w:highlight w:val="none"/>
        </w:rPr>
        <w:t>202</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29</w:t>
      </w:r>
      <w:r>
        <w:rPr>
          <w:rFonts w:hint="eastAsia" w:ascii="宋体" w:hAnsi="宋体" w:eastAsia="宋体" w:cs="宋体"/>
          <w:b/>
          <w:bCs/>
          <w:color w:val="auto"/>
          <w:kern w:val="0"/>
          <w:sz w:val="21"/>
          <w:szCs w:val="21"/>
          <w:highlight w:val="none"/>
        </w:rPr>
        <w:t>日09时00分</w:t>
      </w:r>
      <w:r>
        <w:rPr>
          <w:rFonts w:hint="eastAsia" w:ascii="宋体" w:hAnsi="宋体" w:eastAsia="宋体" w:cs="宋体"/>
          <w:color w:val="auto"/>
          <w:kern w:val="0"/>
          <w:sz w:val="21"/>
          <w:szCs w:val="21"/>
          <w:highlight w:val="none"/>
        </w:rPr>
        <w:t>（北京时间）。</w:t>
      </w:r>
    </w:p>
    <w:p w14:paraId="55A74BB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3.递交地点：</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应在响应文件递交起止时间内将响应文件密封递交到</w:t>
      </w:r>
      <w:r>
        <w:rPr>
          <w:rFonts w:hint="eastAsia" w:ascii="宋体" w:hAnsi="宋体" w:eastAsia="宋体" w:cs="宋体"/>
          <w:b/>
          <w:bCs/>
          <w:color w:val="auto"/>
          <w:kern w:val="0"/>
          <w:sz w:val="21"/>
          <w:szCs w:val="21"/>
          <w:highlight w:val="none"/>
        </w:rPr>
        <w:t>桂林银行（</w:t>
      </w:r>
      <w:r>
        <w:rPr>
          <w:rFonts w:hint="eastAsia" w:ascii="宋体" w:hAnsi="宋体" w:eastAsia="宋体" w:cs="宋体"/>
          <w:b/>
          <w:bCs/>
          <w:color w:val="auto"/>
          <w:sz w:val="21"/>
          <w:szCs w:val="21"/>
          <w:highlight w:val="none"/>
        </w:rPr>
        <w:t>广西桂林市临桂区公园北路8号桂林金融大厦A附楼三楼</w:t>
      </w: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0"/>
          <w:sz w:val="21"/>
          <w:szCs w:val="21"/>
          <w:highlight w:val="none"/>
        </w:rPr>
        <w:t>，逾期送达的、未送达指定地点的或者不按照磋商文件要求密封的响应文件将予以拒收。</w:t>
      </w:r>
    </w:p>
    <w:p w14:paraId="1E5E94B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八、磋商时间及地点：响应文件递交截止时间后为</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小组与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磋商时间，地点：广西桂林市临桂区公园北路8号桂林金融大厦A附楼三楼会议室，参加磋商的法定代表人或委托代理人必须持有效身份证原件，依时到达指定地点等候磋商。</w:t>
      </w:r>
    </w:p>
    <w:p w14:paraId="5EC6BC1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九、联系方式</w:t>
      </w:r>
    </w:p>
    <w:p w14:paraId="626DE3C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采购人：桂林银行股份有限公司</w:t>
      </w:r>
    </w:p>
    <w:p w14:paraId="40BFD3F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人：李经理</w:t>
      </w:r>
    </w:p>
    <w:p w14:paraId="46F9D90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联系电话：0773-5592002</w:t>
      </w:r>
    </w:p>
    <w:p w14:paraId="3B13E10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地址：广西桂林市临桂区公园北路8号桂林金融大厦A附楼三楼</w:t>
      </w:r>
    </w:p>
    <w:p w14:paraId="6C83E35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电子邮箱：jiczx@guilinbank.com.cn</w:t>
      </w:r>
    </w:p>
    <w:p w14:paraId="3050D40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咨询时间：工作日上午</w:t>
      </w:r>
      <w:r>
        <w:rPr>
          <w:rFonts w:hint="eastAsia" w:ascii="宋体" w:hAnsi="宋体" w:eastAsia="宋体" w:cs="宋体"/>
          <w:bCs/>
          <w:color w:val="auto"/>
          <w:sz w:val="21"/>
          <w:szCs w:val="21"/>
          <w:highlight w:val="none"/>
        </w:rPr>
        <w:t>8:30-12:00，下午14:30-17:30</w:t>
      </w:r>
    </w:p>
    <w:p w14:paraId="2E125D57">
      <w:pPr>
        <w:pStyle w:val="20"/>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十、公告网站：</w:t>
      </w:r>
      <w:r>
        <w:rPr>
          <w:rFonts w:hint="eastAsia" w:ascii="宋体" w:hAnsi="宋体" w:eastAsia="宋体" w:cs="宋体"/>
          <w:color w:val="auto"/>
          <w:kern w:val="0"/>
          <w:sz w:val="21"/>
          <w:szCs w:val="21"/>
          <w:highlight w:val="none"/>
        </w:rPr>
        <w:t>桂林银行股份有限公司官网https://www.guilinbank.com.cn/，广西阳光采购服务平台https://ygcgxz.bbwcq.com/#/index</w:t>
      </w:r>
    </w:p>
    <w:p w14:paraId="2221930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4EA095F0">
      <w:pPr>
        <w:pStyle w:val="20"/>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1EE4DD2F">
      <w:pPr>
        <w:keepNext w:val="0"/>
        <w:keepLines w:val="0"/>
        <w:pageBreakBefore w:val="0"/>
        <w:kinsoku/>
        <w:wordWrap w:val="0"/>
        <w:overflowPunct/>
        <w:topLinePunct w:val="0"/>
        <w:autoSpaceDE/>
        <w:autoSpaceDN/>
        <w:bidi w:val="0"/>
        <w:adjustRightInd/>
        <w:snapToGrid w:val="0"/>
        <w:spacing w:line="400" w:lineRule="exact"/>
        <w:ind w:left="0" w:leftChars="0"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桂林银行股份有限公司</w:t>
      </w:r>
      <w:r>
        <w:rPr>
          <w:rFonts w:hint="eastAsia" w:ascii="宋体" w:hAnsi="宋体" w:eastAsia="宋体" w:cs="宋体"/>
          <w:color w:val="auto"/>
          <w:sz w:val="21"/>
          <w:szCs w:val="21"/>
          <w:highlight w:val="none"/>
          <w:lang w:val="en-US" w:eastAsia="zh-CN"/>
        </w:rPr>
        <w:t xml:space="preserve">    </w:t>
      </w:r>
    </w:p>
    <w:p w14:paraId="7AFD018D">
      <w:pPr>
        <w:pStyle w:val="20"/>
        <w:keepNext w:val="0"/>
        <w:keepLines w:val="0"/>
        <w:pageBreakBefore w:val="0"/>
        <w:kinsoku/>
        <w:wordWrap w:val="0"/>
        <w:overflowPunct/>
        <w:topLinePunct w:val="0"/>
        <w:autoSpaceDE/>
        <w:autoSpaceDN/>
        <w:bidi w:val="0"/>
        <w:adjustRightInd/>
        <w:snapToGrid w:val="0"/>
        <w:spacing w:after="0" w:line="400" w:lineRule="exact"/>
        <w:ind w:left="0" w:leftChars="0" w:firstLine="388" w:firstLineChars="200"/>
        <w:jc w:val="right"/>
        <w:textAlignment w:val="auto"/>
        <w:rPr>
          <w:rFonts w:hint="eastAsia" w:ascii="宋体" w:hAnsi="宋体" w:eastAsia="宋体" w:cs="宋体"/>
          <w:bCs/>
          <w:color w:val="auto"/>
          <w:spacing w:val="-8"/>
          <w:sz w:val="21"/>
          <w:szCs w:val="21"/>
          <w:highlight w:val="none"/>
        </w:rPr>
      </w:pPr>
      <w:r>
        <w:rPr>
          <w:rFonts w:hint="eastAsia" w:ascii="宋体" w:hAnsi="宋体" w:eastAsia="宋体" w:cs="宋体"/>
          <w:bCs/>
          <w:color w:val="auto"/>
          <w:spacing w:val="-8"/>
          <w:sz w:val="21"/>
          <w:szCs w:val="21"/>
          <w:highlight w:val="none"/>
        </w:rPr>
        <w:t>202</w:t>
      </w:r>
      <w:r>
        <w:rPr>
          <w:rFonts w:hint="eastAsia" w:ascii="宋体" w:hAnsi="宋体" w:cs="宋体"/>
          <w:bCs/>
          <w:color w:val="auto"/>
          <w:spacing w:val="-8"/>
          <w:sz w:val="21"/>
          <w:szCs w:val="21"/>
          <w:highlight w:val="none"/>
          <w:lang w:val="en-US" w:eastAsia="zh-CN"/>
        </w:rPr>
        <w:t>6</w:t>
      </w:r>
      <w:r>
        <w:rPr>
          <w:rFonts w:hint="eastAsia" w:ascii="宋体" w:hAnsi="宋体" w:eastAsia="宋体" w:cs="宋体"/>
          <w:bCs/>
          <w:color w:val="auto"/>
          <w:spacing w:val="-8"/>
          <w:sz w:val="21"/>
          <w:szCs w:val="21"/>
          <w:highlight w:val="none"/>
        </w:rPr>
        <w:t>年</w:t>
      </w:r>
      <w:r>
        <w:rPr>
          <w:rFonts w:hint="eastAsia" w:ascii="宋体" w:hAnsi="宋体" w:cs="宋体"/>
          <w:bCs/>
          <w:color w:val="auto"/>
          <w:spacing w:val="-8"/>
          <w:sz w:val="21"/>
          <w:szCs w:val="21"/>
          <w:highlight w:val="none"/>
          <w:lang w:val="en-US" w:eastAsia="zh-CN"/>
        </w:rPr>
        <w:t>1</w:t>
      </w:r>
      <w:r>
        <w:rPr>
          <w:rFonts w:hint="eastAsia" w:ascii="宋体" w:hAnsi="宋体" w:eastAsia="宋体" w:cs="宋体"/>
          <w:bCs/>
          <w:color w:val="auto"/>
          <w:spacing w:val="-8"/>
          <w:sz w:val="21"/>
          <w:szCs w:val="21"/>
          <w:highlight w:val="none"/>
        </w:rPr>
        <w:t>月</w:t>
      </w:r>
      <w:r>
        <w:rPr>
          <w:rFonts w:hint="eastAsia" w:ascii="宋体" w:hAnsi="宋体" w:cs="宋体"/>
          <w:bCs/>
          <w:color w:val="auto"/>
          <w:spacing w:val="-8"/>
          <w:sz w:val="21"/>
          <w:szCs w:val="21"/>
          <w:highlight w:val="none"/>
          <w:lang w:val="en-US" w:eastAsia="zh-CN"/>
        </w:rPr>
        <w:t>18</w:t>
      </w:r>
      <w:r>
        <w:rPr>
          <w:rFonts w:hint="eastAsia" w:ascii="宋体" w:hAnsi="宋体" w:eastAsia="宋体" w:cs="宋体"/>
          <w:bCs/>
          <w:color w:val="auto"/>
          <w:spacing w:val="-8"/>
          <w:sz w:val="21"/>
          <w:szCs w:val="21"/>
          <w:highlight w:val="none"/>
        </w:rPr>
        <w:t>日</w:t>
      </w:r>
      <w:r>
        <w:rPr>
          <w:rFonts w:hint="eastAsia" w:ascii="宋体" w:hAnsi="宋体" w:eastAsia="宋体" w:cs="宋体"/>
          <w:bCs/>
          <w:color w:val="auto"/>
          <w:spacing w:val="-8"/>
          <w:sz w:val="21"/>
          <w:szCs w:val="21"/>
          <w:highlight w:val="none"/>
          <w:lang w:val="en-US" w:eastAsia="zh-CN"/>
        </w:rPr>
        <w:t xml:space="preserve"> </w:t>
      </w:r>
      <w:r>
        <w:rPr>
          <w:rFonts w:hint="eastAsia" w:ascii="宋体" w:hAnsi="宋体" w:eastAsia="宋体" w:cs="宋体"/>
          <w:bCs/>
          <w:color w:val="auto"/>
          <w:spacing w:val="-8"/>
          <w:sz w:val="21"/>
          <w:szCs w:val="21"/>
          <w:highlight w:val="none"/>
        </w:rPr>
        <w:t xml:space="preserve">      </w:t>
      </w:r>
    </w:p>
    <w:p w14:paraId="58E17DCA">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4631B33C">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7542AF15">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69D3F6F4">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4488B195">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2487C031">
      <w:pPr>
        <w:keepNext w:val="0"/>
        <w:keepLines w:val="0"/>
        <w:pageBreakBefore w:val="0"/>
        <w:widowControl/>
        <w:kinsoku/>
        <w:overflowPunct/>
        <w:topLinePunct w:val="0"/>
        <w:autoSpaceDE/>
        <w:autoSpaceDN/>
        <w:bidi w:val="0"/>
        <w:adjustRightInd/>
        <w:snapToGrid w:val="0"/>
        <w:spacing w:line="400" w:lineRule="exact"/>
        <w:ind w:left="0" w:leftChars="0" w:firstLine="420" w:firstLineChars="200"/>
        <w:jc w:val="both"/>
        <w:textAlignment w:val="auto"/>
        <w:rPr>
          <w:rFonts w:ascii="小标宋" w:hAnsi="小标宋" w:eastAsia="小标宋" w:cs="小标宋"/>
          <w:color w:val="auto"/>
          <w:kern w:val="44"/>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720" w:num="1"/>
          <w:docGrid w:type="lines" w:linePitch="312" w:charSpace="0"/>
        </w:sectPr>
      </w:pPr>
    </w:p>
    <w:p w14:paraId="69D9F5C3">
      <w:pPr>
        <w:rPr>
          <w:color w:val="auto"/>
          <w:sz w:val="28"/>
          <w:szCs w:val="28"/>
          <w:highlight w:val="none"/>
        </w:rPr>
      </w:pPr>
      <w:bookmarkStart w:id="51" w:name="_Toc31118"/>
      <w:bookmarkStart w:id="52" w:name="_Toc9951096"/>
      <w:bookmarkStart w:id="53" w:name="_Toc25406"/>
      <w:bookmarkStart w:id="54" w:name="_Toc15745"/>
      <w:bookmarkStart w:id="55" w:name="_Toc14736"/>
      <w:bookmarkStart w:id="56" w:name="_Toc7443"/>
      <w:bookmarkStart w:id="57" w:name="_Toc4282"/>
      <w:bookmarkStart w:id="58" w:name="_Toc13004"/>
      <w:bookmarkStart w:id="59" w:name="_Toc10162"/>
      <w:bookmarkStart w:id="60" w:name="_Toc29735"/>
      <w:bookmarkStart w:id="61" w:name="_Toc28229"/>
      <w:bookmarkStart w:id="62" w:name="_Toc18082"/>
      <w:bookmarkStart w:id="63" w:name="_Toc10130"/>
      <w:bookmarkStart w:id="64" w:name="_Toc10441"/>
      <w:bookmarkStart w:id="65" w:name="_Toc12908"/>
      <w:bookmarkStart w:id="66" w:name="_Toc13572"/>
      <w:bookmarkStart w:id="67" w:name="_Toc30881"/>
      <w:bookmarkStart w:id="68" w:name="_Toc31903"/>
      <w:bookmarkStart w:id="69" w:name="_Toc868"/>
      <w:bookmarkStart w:id="70" w:name="_Toc8040"/>
      <w:bookmarkStart w:id="71" w:name="_Toc32609"/>
      <w:bookmarkStart w:id="72" w:name="_Toc31877"/>
      <w:bookmarkStart w:id="73" w:name="_Toc2774"/>
      <w:bookmarkStart w:id="74" w:name="_Toc22237"/>
      <w:bookmarkStart w:id="75" w:name="_Toc19486"/>
      <w:bookmarkStart w:id="76" w:name="_Toc13165"/>
      <w:bookmarkStart w:id="77" w:name="_Toc14293"/>
      <w:bookmarkStart w:id="78" w:name="_Toc3384"/>
      <w:bookmarkStart w:id="79" w:name="_Toc3189"/>
      <w:bookmarkStart w:id="80" w:name="_Toc2214"/>
      <w:bookmarkStart w:id="81" w:name="_Toc15383"/>
      <w:bookmarkStart w:id="82" w:name="_Toc6678"/>
      <w:bookmarkStart w:id="83" w:name="_Toc30110"/>
      <w:bookmarkStart w:id="84" w:name="_Toc23696"/>
      <w:bookmarkStart w:id="85" w:name="_Toc12230"/>
      <w:bookmarkStart w:id="86" w:name="_Toc113"/>
      <w:bookmarkStart w:id="87" w:name="_Toc10483"/>
      <w:bookmarkStart w:id="88" w:name="_Toc18462"/>
      <w:bookmarkStart w:id="89" w:name="_Toc6211"/>
      <w:bookmarkStart w:id="90" w:name="_Toc449"/>
      <w:bookmarkStart w:id="91" w:name="_Toc26607"/>
      <w:bookmarkStart w:id="92" w:name="_Toc9759"/>
      <w:bookmarkStart w:id="93" w:name="_Toc17506"/>
      <w:bookmarkStart w:id="94" w:name="_Toc12631"/>
      <w:bookmarkStart w:id="95" w:name="_Toc9242"/>
      <w:bookmarkStart w:id="96" w:name="_Toc14095"/>
      <w:r>
        <w:rPr>
          <w:rFonts w:hint="eastAsia"/>
          <w:color w:val="auto"/>
          <w:sz w:val="28"/>
          <w:szCs w:val="28"/>
          <w:highlight w:val="none"/>
          <w:lang w:val="en"/>
        </w:rPr>
        <w:t>附件：</w:t>
      </w:r>
      <w:r>
        <w:rPr>
          <w:rFonts w:hint="eastAsia"/>
          <w:color w:val="auto"/>
          <w:sz w:val="28"/>
          <w:szCs w:val="28"/>
          <w:highlight w:val="none"/>
        </w:rPr>
        <w:t>报名材料格式</w:t>
      </w:r>
    </w:p>
    <w:p w14:paraId="0419F0CB">
      <w:pPr>
        <w:rPr>
          <w:color w:val="auto"/>
          <w:sz w:val="28"/>
          <w:szCs w:val="28"/>
          <w:highlight w:val="none"/>
        </w:rPr>
      </w:pPr>
      <w:r>
        <w:rPr>
          <w:rFonts w:hint="eastAsia"/>
          <w:color w:val="auto"/>
          <w:sz w:val="28"/>
          <w:szCs w:val="28"/>
          <w:highlight w:val="none"/>
        </w:rPr>
        <w:t>①主体资格证明（如营业执照、事业单位法人证书、执业许可证等）；</w:t>
      </w:r>
    </w:p>
    <w:p w14:paraId="65D8256A">
      <w:pPr>
        <w:rPr>
          <w:color w:val="auto"/>
          <w:sz w:val="28"/>
          <w:szCs w:val="28"/>
          <w:highlight w:val="none"/>
        </w:rPr>
      </w:pPr>
    </w:p>
    <w:p w14:paraId="6C3BA286">
      <w:pPr>
        <w:rPr>
          <w:color w:val="auto"/>
          <w:sz w:val="28"/>
          <w:szCs w:val="28"/>
          <w:highlight w:val="none"/>
        </w:rPr>
      </w:pPr>
    </w:p>
    <w:p w14:paraId="14F4777A">
      <w:pPr>
        <w:rPr>
          <w:color w:val="auto"/>
          <w:sz w:val="28"/>
          <w:szCs w:val="28"/>
          <w:highlight w:val="none"/>
        </w:rPr>
      </w:pPr>
      <w:r>
        <w:rPr>
          <w:rFonts w:hint="eastAsia"/>
          <w:color w:val="auto"/>
          <w:sz w:val="28"/>
          <w:szCs w:val="28"/>
          <w:highlight w:val="none"/>
        </w:rPr>
        <w:t>②法定代表人（负责人）及委托代理人身份证；</w:t>
      </w:r>
    </w:p>
    <w:p w14:paraId="05D255C2">
      <w:pPr>
        <w:rPr>
          <w:color w:val="auto"/>
          <w:sz w:val="28"/>
          <w:szCs w:val="28"/>
          <w:highlight w:val="none"/>
        </w:rPr>
      </w:pPr>
    </w:p>
    <w:p w14:paraId="30433FAA">
      <w:pPr>
        <w:rPr>
          <w:color w:val="auto"/>
          <w:sz w:val="28"/>
          <w:szCs w:val="28"/>
          <w:highlight w:val="none"/>
        </w:rPr>
      </w:pPr>
    </w:p>
    <w:p w14:paraId="75294155">
      <w:pPr>
        <w:rPr>
          <w:color w:val="auto"/>
          <w:sz w:val="28"/>
          <w:szCs w:val="28"/>
          <w:highlight w:val="none"/>
        </w:rPr>
      </w:pPr>
      <w:r>
        <w:rPr>
          <w:rFonts w:hint="eastAsia"/>
          <w:color w:val="auto"/>
          <w:sz w:val="28"/>
          <w:szCs w:val="28"/>
          <w:highlight w:val="none"/>
        </w:rPr>
        <w:t>③法定代表人（负责人）授权书（须注明项目名称、项目编号）。</w:t>
      </w:r>
    </w:p>
    <w:p w14:paraId="0053882F">
      <w:pPr>
        <w:spacing w:line="640" w:lineRule="exact"/>
        <w:jc w:val="center"/>
        <w:rPr>
          <w:rFonts w:ascii="小标宋" w:hAnsi="小标宋" w:eastAsia="小标宋" w:cs="小标宋"/>
          <w:color w:val="auto"/>
          <w:sz w:val="44"/>
          <w:szCs w:val="44"/>
          <w:highlight w:val="none"/>
        </w:rPr>
      </w:pPr>
    </w:p>
    <w:p w14:paraId="66069E3E">
      <w:pPr>
        <w:spacing w:line="640" w:lineRule="exact"/>
        <w:jc w:val="center"/>
        <w:rPr>
          <w:rFonts w:ascii="小标宋" w:hAnsi="小标宋" w:eastAsia="小标宋" w:cs="小标宋"/>
          <w:color w:val="auto"/>
          <w:sz w:val="44"/>
          <w:szCs w:val="44"/>
          <w:highlight w:val="none"/>
        </w:rPr>
      </w:pPr>
      <w:r>
        <w:rPr>
          <w:rFonts w:hint="eastAsia" w:ascii="小标宋" w:hAnsi="小标宋" w:eastAsia="小标宋" w:cs="小标宋"/>
          <w:color w:val="auto"/>
          <w:sz w:val="44"/>
          <w:szCs w:val="44"/>
          <w:highlight w:val="none"/>
        </w:rPr>
        <w:t>授权委托书</w:t>
      </w:r>
    </w:p>
    <w:p w14:paraId="71CBB639">
      <w:pPr>
        <w:spacing w:line="586" w:lineRule="exact"/>
        <w:ind w:firstLine="640" w:firstLineChars="200"/>
        <w:rPr>
          <w:rFonts w:ascii="仿宋_GB2312" w:hAnsi="仿宋_GB2312" w:eastAsia="仿宋_GB2312" w:cs="仿宋_GB2312"/>
          <w:color w:val="auto"/>
          <w:kern w:val="0"/>
          <w:sz w:val="32"/>
          <w:szCs w:val="32"/>
          <w:highlight w:val="none"/>
        </w:rPr>
      </w:pPr>
    </w:p>
    <w:p w14:paraId="1A5CE923">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本人</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（姓名）系</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pacing w:val="-1"/>
          <w:kern w:val="0"/>
          <w:sz w:val="32"/>
          <w:szCs w:val="32"/>
          <w:highlight w:val="none"/>
        </w:rPr>
        <w:t>供应商</w:t>
      </w:r>
      <w:r>
        <w:rPr>
          <w:rFonts w:hint="eastAsia" w:ascii="仿宋_GB2312" w:hAnsi="仿宋_GB2312" w:eastAsia="仿宋_GB2312" w:cs="仿宋_GB2312"/>
          <w:color w:val="auto"/>
          <w:kern w:val="0"/>
          <w:sz w:val="32"/>
          <w:szCs w:val="32"/>
          <w:highlight w:val="none"/>
        </w:rPr>
        <w:t>名称</w:t>
      </w:r>
      <w:r>
        <w:rPr>
          <w:rFonts w:hint="eastAsia" w:ascii="仿宋_GB2312" w:hAnsi="仿宋_GB2312" w:eastAsia="仿宋_GB2312" w:cs="仿宋_GB2312"/>
          <w:color w:val="auto"/>
          <w:spacing w:val="1"/>
          <w:kern w:val="0"/>
          <w:sz w:val="32"/>
          <w:szCs w:val="32"/>
          <w:highlight w:val="none"/>
        </w:rPr>
        <w:t>）</w:t>
      </w:r>
      <w:r>
        <w:rPr>
          <w:rFonts w:hint="eastAsia" w:ascii="仿宋_GB2312" w:hAnsi="仿宋_GB2312" w:eastAsia="仿宋_GB2312" w:cs="仿宋_GB2312"/>
          <w:color w:val="auto"/>
          <w:kern w:val="0"/>
          <w:sz w:val="32"/>
          <w:szCs w:val="32"/>
          <w:highlight w:val="none"/>
        </w:rPr>
        <w:t>的法定代</w:t>
      </w:r>
      <w:r>
        <w:rPr>
          <w:rFonts w:hint="eastAsia" w:ascii="仿宋_GB2312" w:hAnsi="仿宋_GB2312" w:eastAsia="仿宋_GB2312" w:cs="仿宋_GB2312"/>
          <w:color w:val="auto"/>
          <w:spacing w:val="1"/>
          <w:kern w:val="0"/>
          <w:sz w:val="32"/>
          <w:szCs w:val="32"/>
          <w:highlight w:val="none"/>
        </w:rPr>
        <w:t>表</w:t>
      </w:r>
      <w:r>
        <w:rPr>
          <w:rFonts w:hint="eastAsia" w:ascii="仿宋_GB2312" w:hAnsi="仿宋_GB2312" w:eastAsia="仿宋_GB2312" w:cs="仿宋_GB2312"/>
          <w:color w:val="auto"/>
          <w:kern w:val="0"/>
          <w:sz w:val="32"/>
          <w:szCs w:val="32"/>
          <w:highlight w:val="none"/>
        </w:rPr>
        <w:t>人，现委托</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 名）为我方代理人以本单位名义参加</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u w:val="single"/>
        </w:rPr>
        <w:t>（项</w:t>
      </w:r>
      <w:r>
        <w:rPr>
          <w:rFonts w:hint="eastAsia" w:ascii="仿宋_GB2312" w:hAnsi="仿宋_GB2312" w:eastAsia="仿宋_GB2312" w:cs="仿宋_GB2312"/>
          <w:color w:val="auto"/>
          <w:spacing w:val="-1"/>
          <w:kern w:val="0"/>
          <w:sz w:val="32"/>
          <w:szCs w:val="32"/>
          <w:highlight w:val="none"/>
          <w:u w:val="single"/>
        </w:rPr>
        <w:t>目</w:t>
      </w:r>
      <w:r>
        <w:rPr>
          <w:rFonts w:hint="eastAsia" w:ascii="仿宋_GB2312" w:hAnsi="仿宋_GB2312" w:eastAsia="仿宋_GB2312" w:cs="仿宋_GB2312"/>
          <w:color w:val="auto"/>
          <w:kern w:val="0"/>
          <w:sz w:val="32"/>
          <w:szCs w:val="32"/>
          <w:highlight w:val="none"/>
          <w:u w:val="single"/>
        </w:rPr>
        <w:t xml:space="preserve">名称、项目编号）  </w:t>
      </w:r>
      <w:r>
        <w:rPr>
          <w:rFonts w:hint="eastAsia" w:ascii="仿宋_GB2312" w:hAnsi="仿宋_GB2312" w:eastAsia="仿宋_GB2312" w:cs="仿宋_GB2312"/>
          <w:color w:val="auto"/>
          <w:kern w:val="0"/>
          <w:sz w:val="32"/>
          <w:szCs w:val="32"/>
          <w:highlight w:val="none"/>
        </w:rPr>
        <w:t>的报名活动。代理人在过程中所签署的一切文件和处理与之有关的一切事务，我均予以确认。</w:t>
      </w:r>
    </w:p>
    <w:p w14:paraId="1C2C75D0">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代理人无转委托权。 </w:t>
      </w:r>
    </w:p>
    <w:p w14:paraId="0DEE93F3">
      <w:pPr>
        <w:spacing w:line="586" w:lineRule="exact"/>
        <w:ind w:firstLine="640" w:firstLineChars="200"/>
        <w:rPr>
          <w:rFonts w:ascii="仿宋_GB2312" w:hAnsi="仿宋_GB2312" w:eastAsia="仿宋_GB2312" w:cs="仿宋_GB2312"/>
          <w:color w:val="auto"/>
          <w:kern w:val="0"/>
          <w:sz w:val="32"/>
          <w:szCs w:val="32"/>
          <w:highlight w:val="none"/>
        </w:rPr>
      </w:pPr>
    </w:p>
    <w:p w14:paraId="6D5F93B8">
      <w:pPr>
        <w:spacing w:line="586" w:lineRule="exact"/>
        <w:ind w:firstLine="640" w:firstLineChars="200"/>
        <w:rPr>
          <w:rFonts w:ascii="仿宋_GB2312" w:hAnsi="仿宋_GB2312" w:eastAsia="仿宋_GB2312" w:cs="仿宋_GB2312"/>
          <w:color w:val="auto"/>
          <w:kern w:val="0"/>
          <w:sz w:val="32"/>
          <w:szCs w:val="32"/>
          <w:highlight w:val="none"/>
        </w:rPr>
      </w:pPr>
    </w:p>
    <w:p w14:paraId="43124556">
      <w:pPr>
        <w:spacing w:line="586" w:lineRule="exact"/>
        <w:ind w:firstLine="3520" w:firstLineChars="11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供应商（</w:t>
      </w:r>
      <w:r>
        <w:rPr>
          <w:rFonts w:hint="eastAsia" w:ascii="仿宋_GB2312" w:hAnsi="仿宋_GB2312" w:eastAsia="仿宋_GB2312" w:cs="仿宋_GB2312"/>
          <w:color w:val="auto"/>
          <w:spacing w:val="-1"/>
          <w:kern w:val="0"/>
          <w:sz w:val="32"/>
          <w:szCs w:val="32"/>
          <w:highlight w:val="none"/>
        </w:rPr>
        <w:t>盖</w:t>
      </w:r>
      <w:r>
        <w:rPr>
          <w:rFonts w:hint="eastAsia" w:ascii="仿宋_GB2312" w:hAnsi="仿宋_GB2312" w:eastAsia="仿宋_GB2312" w:cs="仿宋_GB2312"/>
          <w:color w:val="auto"/>
          <w:kern w:val="0"/>
          <w:sz w:val="32"/>
          <w:szCs w:val="32"/>
          <w:highlight w:val="none"/>
        </w:rPr>
        <w:t xml:space="preserve">单位章）： </w:t>
      </w:r>
    </w:p>
    <w:p w14:paraId="1297BBCD">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法定代表人或授权委托人（签字或盖章）：</w:t>
      </w:r>
    </w:p>
    <w:p w14:paraId="794AF886">
      <w:pPr>
        <w:spacing w:line="586" w:lineRule="exact"/>
        <w:ind w:firstLine="640" w:firstLineChars="200"/>
        <w:jc w:val="righ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日</w:t>
      </w:r>
    </w:p>
    <w:p w14:paraId="1148C78E">
      <w:pPr>
        <w:rPr>
          <w:color w:val="auto"/>
          <w:sz w:val="28"/>
          <w:szCs w:val="28"/>
          <w:highlight w:val="none"/>
        </w:rPr>
      </w:pPr>
    </w:p>
    <w:p w14:paraId="03E14FA2">
      <w:pPr>
        <w:rPr>
          <w:rFonts w:hint="default" w:eastAsia="宋体"/>
          <w:color w:val="auto"/>
          <w:sz w:val="28"/>
          <w:szCs w:val="28"/>
          <w:highlight w:val="none"/>
          <w:lang w:val="en-US" w:eastAsia="zh-CN"/>
        </w:rPr>
        <w:sectPr>
          <w:headerReference r:id="rId4" w:type="default"/>
          <w:footerReference r:id="rId5"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r>
        <w:rPr>
          <w:rFonts w:hint="eastAsia"/>
          <w:color w:val="auto"/>
          <w:sz w:val="28"/>
          <w:szCs w:val="28"/>
          <w:highlight w:val="none"/>
          <w:lang w:val="en-US" w:eastAsia="zh-CN"/>
        </w:rPr>
        <w:t>联系方式：</w:t>
      </w:r>
    </w:p>
    <w:p w14:paraId="3FDC3573">
      <w:pPr>
        <w:pStyle w:val="38"/>
        <w:rPr>
          <w:rFonts w:ascii="Times New Roman" w:hAnsi="Times New Roman"/>
          <w:color w:val="auto"/>
          <w:highlight w:val="none"/>
        </w:rPr>
      </w:pPr>
      <w:bookmarkStart w:id="97" w:name="_Toc2408"/>
      <w:bookmarkStart w:id="98" w:name="_Toc27196"/>
      <w:bookmarkStart w:id="99" w:name="_Toc11769"/>
      <w:bookmarkStart w:id="100" w:name="_Toc5135"/>
      <w:bookmarkStart w:id="101" w:name="_Toc8824"/>
      <w:r>
        <w:rPr>
          <w:rFonts w:ascii="Times New Roman" w:hAnsi="Times New Roman"/>
          <w:color w:val="auto"/>
          <w:highlight w:val="none"/>
        </w:rPr>
        <w:t xml:space="preserve">第二章  </w:t>
      </w:r>
      <w:r>
        <w:rPr>
          <w:rFonts w:hint="eastAsia" w:ascii="Times New Roman" w:hAnsi="Times New Roman"/>
          <w:color w:val="auto"/>
          <w:highlight w:val="none"/>
          <w:lang w:eastAsia="zh-CN"/>
        </w:rPr>
        <w:t>供应商</w:t>
      </w:r>
      <w:r>
        <w:rPr>
          <w:rFonts w:ascii="Times New Roman" w:hAnsi="Times New Roman"/>
          <w:color w:val="auto"/>
          <w:highlight w:val="none"/>
        </w:rPr>
        <w:t>须知</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0319D71">
      <w:pPr>
        <w:tabs>
          <w:tab w:val="left" w:pos="1305"/>
        </w:tabs>
        <w:spacing w:line="400" w:lineRule="exact"/>
        <w:rPr>
          <w:b/>
          <w:bCs/>
          <w:color w:val="auto"/>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34E0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5F79340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65" w:type="dxa"/>
            <w:vAlign w:val="center"/>
          </w:tcPr>
          <w:p w14:paraId="3457739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863" w:type="dxa"/>
            <w:vAlign w:val="center"/>
          </w:tcPr>
          <w:p w14:paraId="3F220B7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3AA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14C210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5" w:type="dxa"/>
            <w:vAlign w:val="center"/>
          </w:tcPr>
          <w:p w14:paraId="1E614C8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863" w:type="dxa"/>
            <w:vAlign w:val="center"/>
          </w:tcPr>
          <w:p w14:paraId="29E7CA9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Cs/>
                <w:color w:val="auto"/>
                <w:sz w:val="21"/>
                <w:szCs w:val="21"/>
                <w:highlight w:val="none"/>
                <w:lang w:eastAsia="zh-CN"/>
              </w:rPr>
            </w:pPr>
            <w:r>
              <w:rPr>
                <w:rFonts w:hint="eastAsia" w:ascii="宋体" w:hAnsi="宋体" w:cs="宋体"/>
                <w:b/>
                <w:bCs/>
                <w:color w:val="auto"/>
                <w:sz w:val="21"/>
                <w:szCs w:val="21"/>
                <w:highlight w:val="none"/>
                <w:lang w:val="en-US" w:eastAsia="zh-CN"/>
              </w:rPr>
              <w:t>桂林银行</w:t>
            </w:r>
            <w:r>
              <w:rPr>
                <w:rFonts w:hint="eastAsia" w:ascii="宋体" w:hAnsi="宋体" w:cs="宋体"/>
                <w:b/>
                <w:bCs/>
                <w:color w:val="auto"/>
                <w:sz w:val="21"/>
                <w:szCs w:val="21"/>
                <w:highlight w:val="none"/>
                <w:lang w:eastAsia="zh-CN"/>
              </w:rPr>
              <w:t>中国-东盟金融人工智能服务共享网络节点建设项目</w:t>
            </w:r>
          </w:p>
        </w:tc>
      </w:tr>
      <w:tr w14:paraId="5F55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CBD3B4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65" w:type="dxa"/>
            <w:vAlign w:val="center"/>
          </w:tcPr>
          <w:p w14:paraId="27896D8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863" w:type="dxa"/>
            <w:vAlign w:val="center"/>
          </w:tcPr>
          <w:p w14:paraId="19E6E931">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014</w:t>
            </w:r>
          </w:p>
        </w:tc>
      </w:tr>
      <w:tr w14:paraId="4B1C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F76854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65" w:type="dxa"/>
            <w:vAlign w:val="center"/>
          </w:tcPr>
          <w:p w14:paraId="028C9F3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w:t>
            </w:r>
          </w:p>
        </w:tc>
        <w:tc>
          <w:tcPr>
            <w:tcW w:w="6863" w:type="dxa"/>
            <w:vAlign w:val="center"/>
          </w:tcPr>
          <w:p w14:paraId="2DFF073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详见第一章竞争性磋商公告</w:t>
            </w:r>
          </w:p>
        </w:tc>
      </w:tr>
      <w:tr w14:paraId="4454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0DA9EF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65" w:type="dxa"/>
            <w:vAlign w:val="center"/>
          </w:tcPr>
          <w:p w14:paraId="34C952B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磋商文件澄清、修改</w:t>
            </w:r>
          </w:p>
        </w:tc>
        <w:tc>
          <w:tcPr>
            <w:tcW w:w="6863" w:type="dxa"/>
          </w:tcPr>
          <w:p w14:paraId="51817E9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在磋商公告发布媒介上发布。</w:t>
            </w:r>
          </w:p>
          <w:p w14:paraId="6DCBB2D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5079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2944E23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65" w:type="dxa"/>
            <w:vAlign w:val="center"/>
          </w:tcPr>
          <w:p w14:paraId="60431A0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确认收到澄清、修改发布的方式</w:t>
            </w:r>
          </w:p>
        </w:tc>
        <w:tc>
          <w:tcPr>
            <w:tcW w:w="6863" w:type="dxa"/>
          </w:tcPr>
          <w:p w14:paraId="7613A2A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澄清、修改文件在磋商公告发布媒介发布之日起，视为</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已收到该澄清、修改。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未及时关注磋商公告发布媒介造成的损失，由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自行负责。</w:t>
            </w:r>
          </w:p>
        </w:tc>
      </w:tr>
      <w:tr w14:paraId="5343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15C224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65" w:type="dxa"/>
            <w:vAlign w:val="center"/>
          </w:tcPr>
          <w:p w14:paraId="4B4AE3A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现场踏勘</w:t>
            </w:r>
          </w:p>
        </w:tc>
        <w:tc>
          <w:tcPr>
            <w:tcW w:w="6863" w:type="dxa"/>
          </w:tcPr>
          <w:p w14:paraId="39CFEBD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不组织。</w:t>
            </w:r>
          </w:p>
        </w:tc>
      </w:tr>
      <w:tr w14:paraId="42A3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8F3FB6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65" w:type="dxa"/>
            <w:vAlign w:val="center"/>
          </w:tcPr>
          <w:p w14:paraId="549941D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转包/分包</w:t>
            </w:r>
          </w:p>
        </w:tc>
        <w:tc>
          <w:tcPr>
            <w:tcW w:w="6863" w:type="dxa"/>
          </w:tcPr>
          <w:p w14:paraId="76CA197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6C5D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2EBA3D4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65" w:type="dxa"/>
            <w:vAlign w:val="center"/>
          </w:tcPr>
          <w:p w14:paraId="6FE8DF29">
            <w:pPr>
              <w:pStyle w:val="20"/>
              <w:keepNext w:val="0"/>
              <w:keepLines w:val="0"/>
              <w:pageBreakBefore w:val="0"/>
              <w:kinsoku/>
              <w:wordWrap/>
              <w:overflowPunct/>
              <w:topLinePunct w:val="0"/>
              <w:autoSpaceDE/>
              <w:autoSpaceDN/>
              <w:bidi w:val="0"/>
              <w:adjustRightInd/>
              <w:spacing w:after="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实质性要求和条件</w:t>
            </w:r>
          </w:p>
        </w:tc>
        <w:tc>
          <w:tcPr>
            <w:tcW w:w="6863" w:type="dxa"/>
            <w:vAlign w:val="center"/>
          </w:tcPr>
          <w:p w14:paraId="28445A90">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磋商文件中所有标注★号的条款、要求“必须提供”的条款以及标明不满足即响应无效的条款</w:t>
            </w:r>
          </w:p>
        </w:tc>
      </w:tr>
      <w:tr w14:paraId="662A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D13F82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765" w:type="dxa"/>
            <w:vAlign w:val="center"/>
          </w:tcPr>
          <w:p w14:paraId="6B261FB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报价及费用</w:t>
            </w:r>
          </w:p>
        </w:tc>
        <w:tc>
          <w:tcPr>
            <w:tcW w:w="6863" w:type="dxa"/>
          </w:tcPr>
          <w:p w14:paraId="4B4859F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（1）本次报价须为人民币报价，报价应被视为已经包含了但不限于本项目购买相关货物或服务等的费用和所需缴纳的税费等一切费用。</w:t>
            </w:r>
          </w:p>
          <w:p w14:paraId="1709ECF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（2）不论磋商结果如何，</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均应自行承担所有与磋商有关的全部费用。</w:t>
            </w:r>
          </w:p>
          <w:p w14:paraId="6A5DD26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（3）预算金额：</w:t>
            </w:r>
            <w:r>
              <w:rPr>
                <w:rFonts w:hint="eastAsia" w:ascii="宋体" w:hAnsi="宋体" w:cs="宋体"/>
                <w:b/>
                <w:bCs/>
                <w:color w:val="auto"/>
                <w:sz w:val="21"/>
                <w:szCs w:val="21"/>
                <w:highlight w:val="none"/>
                <w:lang w:val="en-US" w:eastAsia="zh-CN"/>
              </w:rPr>
              <w:t>75</w:t>
            </w:r>
            <w:r>
              <w:rPr>
                <w:rFonts w:hint="eastAsia" w:ascii="宋体" w:hAnsi="宋体" w:eastAsia="宋体" w:cs="宋体"/>
                <w:b/>
                <w:bCs/>
                <w:color w:val="auto"/>
                <w:sz w:val="21"/>
                <w:szCs w:val="21"/>
                <w:highlight w:val="none"/>
              </w:rPr>
              <w:t>万元</w:t>
            </w:r>
            <w:r>
              <w:rPr>
                <w:rFonts w:hint="eastAsia" w:ascii="宋体" w:hAnsi="宋体" w:eastAsia="宋体" w:cs="宋体"/>
                <w:color w:val="auto"/>
                <w:sz w:val="21"/>
                <w:szCs w:val="21"/>
                <w:highlight w:val="none"/>
              </w:rPr>
              <w:t>。</w:t>
            </w:r>
          </w:p>
          <w:p w14:paraId="5DB049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（4）资金来源：企业自筹。</w:t>
            </w:r>
          </w:p>
        </w:tc>
      </w:tr>
      <w:tr w14:paraId="6345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133AD7C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765" w:type="dxa"/>
            <w:vAlign w:val="center"/>
          </w:tcPr>
          <w:p w14:paraId="539F60C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w:t>
            </w:r>
          </w:p>
        </w:tc>
        <w:tc>
          <w:tcPr>
            <w:tcW w:w="6863" w:type="dxa"/>
          </w:tcPr>
          <w:p w14:paraId="024ED8B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保证金的形式：转帐或电汇形式；</w:t>
            </w:r>
          </w:p>
          <w:p w14:paraId="58FB400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磋商保证金的金额：</w:t>
            </w:r>
            <w:r>
              <w:rPr>
                <w:rFonts w:hint="eastAsia" w:ascii="宋体" w:hAnsi="宋体" w:cs="宋体"/>
                <w:b/>
                <w:bCs/>
                <w:color w:val="auto"/>
                <w:sz w:val="21"/>
                <w:szCs w:val="21"/>
                <w:highlight w:val="none"/>
                <w:lang w:val="en-US" w:eastAsia="zh-CN"/>
              </w:rPr>
              <w:t>1.5</w:t>
            </w:r>
            <w:r>
              <w:rPr>
                <w:rFonts w:hint="eastAsia" w:ascii="宋体" w:hAnsi="宋体" w:eastAsia="宋体" w:cs="宋体"/>
                <w:b/>
                <w:bCs/>
                <w:color w:val="auto"/>
                <w:sz w:val="21"/>
                <w:szCs w:val="21"/>
                <w:highlight w:val="none"/>
              </w:rPr>
              <w:t xml:space="preserve">万元 </w:t>
            </w:r>
            <w:r>
              <w:rPr>
                <w:rFonts w:hint="eastAsia" w:ascii="宋体" w:hAnsi="宋体" w:eastAsia="宋体" w:cs="宋体"/>
                <w:color w:val="auto"/>
                <w:sz w:val="21"/>
                <w:szCs w:val="21"/>
                <w:highlight w:val="none"/>
              </w:rPr>
              <w:t>。</w:t>
            </w:r>
          </w:p>
          <w:p w14:paraId="791306A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29</w:t>
            </w:r>
            <w:r>
              <w:rPr>
                <w:rFonts w:hint="eastAsia" w:ascii="宋体" w:hAnsi="宋体" w:eastAsia="宋体" w:cs="宋体"/>
                <w:b/>
                <w:bCs/>
                <w:color w:val="auto"/>
                <w:sz w:val="21"/>
                <w:szCs w:val="21"/>
                <w:highlight w:val="none"/>
              </w:rPr>
              <w:t>日09时00分前</w:t>
            </w:r>
            <w:r>
              <w:rPr>
                <w:rFonts w:hint="eastAsia" w:ascii="宋体" w:hAnsi="宋体" w:eastAsia="宋体" w:cs="宋体"/>
                <w:color w:val="auto"/>
                <w:sz w:val="21"/>
                <w:szCs w:val="21"/>
                <w:highlight w:val="none"/>
              </w:rPr>
              <w:t>将保证金以转账、电汇形式从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账户一次性足额缴纳至本项目对应的专用账号，</w:t>
            </w:r>
            <w:r>
              <w:rPr>
                <w:rFonts w:hint="eastAsia" w:ascii="宋体" w:hAnsi="宋体" w:eastAsia="宋体" w:cs="宋体"/>
                <w:b/>
                <w:bCs/>
                <w:color w:val="auto"/>
                <w:sz w:val="21"/>
                <w:szCs w:val="21"/>
                <w:highlight w:val="none"/>
              </w:rPr>
              <w:t>转账时备注“202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014</w:t>
            </w:r>
            <w:r>
              <w:rPr>
                <w:rFonts w:hint="eastAsia" w:ascii="宋体" w:hAnsi="宋体" w:eastAsia="宋体" w:cs="宋体"/>
                <w:b/>
                <w:bCs/>
                <w:color w:val="auto"/>
                <w:sz w:val="21"/>
                <w:szCs w:val="21"/>
                <w:highlight w:val="none"/>
              </w:rPr>
              <w:t>项目”</w:t>
            </w:r>
            <w:r>
              <w:rPr>
                <w:rFonts w:hint="eastAsia" w:ascii="宋体" w:hAnsi="宋体" w:eastAsia="宋体" w:cs="宋体"/>
                <w:color w:val="auto"/>
                <w:sz w:val="21"/>
                <w:szCs w:val="21"/>
                <w:highlight w:val="none"/>
              </w:rPr>
              <w:t>，所交纳的磋商保证金仅限当次项目有效，不得重复替代使用。本项目保证金交至以下账户：</w:t>
            </w:r>
          </w:p>
          <w:p w14:paraId="49611AB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开户名称：桂林银行股份有限公司</w:t>
            </w:r>
          </w:p>
          <w:p w14:paraId="39DE89C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开户银行：桂林银行股份有限公司营业部  </w:t>
            </w:r>
          </w:p>
          <w:p w14:paraId="1D16746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帐号：6040120111037303</w:t>
            </w:r>
          </w:p>
          <w:p w14:paraId="154E0B2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联行号：313617000219</w:t>
            </w:r>
          </w:p>
          <w:p w14:paraId="6DE5C8D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hint="eastAsia" w:ascii="宋体" w:hAnsi="宋体" w:eastAsia="宋体" w:cs="宋体"/>
                <w:b/>
                <w:color w:val="auto"/>
                <w:sz w:val="21"/>
                <w:szCs w:val="21"/>
                <w:highlight w:val="none"/>
                <w:u w:val="single"/>
              </w:rPr>
              <w:t>本项目不接受现金形式或从个人账户转出的磋商保证金。</w:t>
            </w:r>
          </w:p>
          <w:p w14:paraId="051E344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（3）除磋商文件规定不予退还保证金的情形外，未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的磋商保证金最迟在本项目书面合同签订后</w:t>
            </w:r>
            <w:r>
              <w:rPr>
                <w:rFonts w:hint="eastAsia" w:ascii="宋体" w:hAnsi="宋体" w:eastAsia="宋体" w:cs="宋体"/>
                <w:color w:val="auto"/>
                <w:sz w:val="21"/>
                <w:szCs w:val="21"/>
                <w:highlight w:val="none"/>
                <w:lang w:val="en-US" w:eastAsia="zh-CN"/>
              </w:rPr>
              <w:t>五个工作</w:t>
            </w:r>
            <w:r>
              <w:rPr>
                <w:rFonts w:hint="eastAsia" w:ascii="宋体" w:hAnsi="宋体" w:eastAsia="宋体" w:cs="宋体"/>
                <w:color w:val="auto"/>
                <w:sz w:val="21"/>
                <w:szCs w:val="21"/>
                <w:highlight w:val="none"/>
              </w:rPr>
              <w:t>日内退还，均以转账形式（无息）原路退还到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银行账户。</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自行承担交纳保证金后未参加磋商活动或磋商保证金缴纳错误而导致磋商保证金无法及时退还的责任。</w:t>
            </w:r>
          </w:p>
          <w:p w14:paraId="213434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（4）未按以上要求缴纳磋商保证金的响应文件，将作无效响应文件处理。</w:t>
            </w:r>
          </w:p>
        </w:tc>
      </w:tr>
      <w:tr w14:paraId="7B08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F070DE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65" w:type="dxa"/>
            <w:vAlign w:val="center"/>
          </w:tcPr>
          <w:p w14:paraId="49BE7A9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合同履约担保</w:t>
            </w:r>
          </w:p>
        </w:tc>
        <w:tc>
          <w:tcPr>
            <w:tcW w:w="6863" w:type="dxa"/>
            <w:vAlign w:val="center"/>
          </w:tcPr>
          <w:p w14:paraId="7178882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的磋商保证金在领取合作通知书后转为合同履约担保，履约保证金在合同期满且验收合格后退还（合同中另有约定的除外），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提供退款申请（详见</w:t>
            </w:r>
            <w:r>
              <w:rPr>
                <w:rFonts w:hint="eastAsia" w:ascii="宋体" w:hAnsi="宋体" w:eastAsia="宋体" w:cs="宋体"/>
                <w:color w:val="auto"/>
                <w:sz w:val="21"/>
                <w:szCs w:val="21"/>
                <w:highlight w:val="none"/>
                <w:lang w:val="en-US" w:eastAsia="zh-CN"/>
              </w:rPr>
              <w:t>格式材料9</w:t>
            </w:r>
            <w:r>
              <w:rPr>
                <w:rFonts w:hint="eastAsia" w:ascii="宋体" w:hAnsi="宋体" w:eastAsia="宋体" w:cs="宋体"/>
                <w:color w:val="auto"/>
                <w:sz w:val="21"/>
                <w:szCs w:val="21"/>
                <w:highlight w:val="none"/>
              </w:rPr>
              <w:t>），申请包括项目名称、编号、退款金额、账户信息等内容，经采购人核实后无息退还。</w:t>
            </w:r>
          </w:p>
        </w:tc>
      </w:tr>
      <w:tr w14:paraId="6C11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FAD358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765" w:type="dxa"/>
            <w:vAlign w:val="center"/>
          </w:tcPr>
          <w:p w14:paraId="59A2EF3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不予退还磋商保证金的情形</w:t>
            </w:r>
          </w:p>
        </w:tc>
        <w:tc>
          <w:tcPr>
            <w:tcW w:w="6863" w:type="dxa"/>
            <w:vAlign w:val="center"/>
          </w:tcPr>
          <w:p w14:paraId="72C6CF7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有下列情形之一的，保证金将不予退还：</w:t>
            </w:r>
          </w:p>
          <w:p w14:paraId="0971638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在提交磋商文件截止时间后撤回响应文件的；</w:t>
            </w:r>
          </w:p>
          <w:p w14:paraId="158E43A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在响应文件中提供虚假材料的；</w:t>
            </w:r>
          </w:p>
          <w:p w14:paraId="194AF844">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（3）除因不可抗力或磋商文件认可的情形以外，成交供应商不与采购人签订合同的；</w:t>
            </w:r>
          </w:p>
          <w:p w14:paraId="21CBB076">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项目转让给他人或者在响应文件中未说明且未经采购人同意，将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项目分包给他人的；</w:t>
            </w:r>
          </w:p>
          <w:p w14:paraId="6237EB8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（5）拒绝履行合同义务的；</w:t>
            </w:r>
          </w:p>
          <w:p w14:paraId="0C97B1F5">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（6）其他严重扰乱报价程序的；</w:t>
            </w:r>
          </w:p>
          <w:p w14:paraId="0E001D21">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（7）磋商文件规定的其他情形。</w:t>
            </w:r>
          </w:p>
        </w:tc>
      </w:tr>
      <w:tr w14:paraId="785A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E6679E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765" w:type="dxa"/>
            <w:vAlign w:val="center"/>
          </w:tcPr>
          <w:p w14:paraId="4B8A48F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响应文件份数</w:t>
            </w:r>
          </w:p>
        </w:tc>
        <w:tc>
          <w:tcPr>
            <w:tcW w:w="6863" w:type="dxa"/>
            <w:vAlign w:val="center"/>
          </w:tcPr>
          <w:p w14:paraId="1E659377">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w:t>
            </w:r>
            <w:r>
              <w:rPr>
                <w:rFonts w:hint="eastAsia" w:ascii="宋体" w:hAnsi="宋体" w:eastAsia="宋体" w:cs="宋体"/>
                <w:b/>
                <w:bCs/>
                <w:color w:val="auto"/>
                <w:sz w:val="21"/>
                <w:szCs w:val="21"/>
                <w:highlight w:val="none"/>
              </w:rPr>
              <w:t>正本一份、副本五份</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A4标准纸装订，建议双面打印</w:t>
            </w:r>
            <w:r>
              <w:rPr>
                <w:rFonts w:hint="eastAsia" w:ascii="宋体" w:hAnsi="宋体" w:eastAsia="宋体" w:cs="宋体"/>
                <w:color w:val="auto"/>
                <w:sz w:val="21"/>
                <w:szCs w:val="21"/>
                <w:highlight w:val="none"/>
              </w:rPr>
              <w:t>），正本与副本不一致时，以正本为准。不同语言的内容不一致的，以中文文本为准。提供响应文件正本</w:t>
            </w:r>
            <w:r>
              <w:rPr>
                <w:rFonts w:hint="eastAsia" w:ascii="宋体" w:hAnsi="宋体" w:eastAsia="宋体" w:cs="宋体"/>
                <w:b/>
                <w:bCs/>
                <w:color w:val="auto"/>
                <w:sz w:val="21"/>
                <w:szCs w:val="21"/>
                <w:highlight w:val="none"/>
              </w:rPr>
              <w:t>电子版光盘或U盘一份（盖章扫描件+word版）</w:t>
            </w:r>
            <w:r>
              <w:rPr>
                <w:rFonts w:hint="eastAsia" w:ascii="宋体" w:hAnsi="宋体" w:eastAsia="宋体" w:cs="宋体"/>
                <w:color w:val="auto"/>
                <w:sz w:val="21"/>
                <w:szCs w:val="21"/>
                <w:highlight w:val="none"/>
              </w:rPr>
              <w:t>，纸质版与电子版响应文件应一致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电子版响应文件与纸质版不一致的，以纸质版响应文件正本为准。</w:t>
            </w:r>
          </w:p>
        </w:tc>
      </w:tr>
      <w:tr w14:paraId="127F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C017B2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765" w:type="dxa"/>
            <w:vAlign w:val="center"/>
          </w:tcPr>
          <w:p w14:paraId="6DE13CB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响应文件编制</w:t>
            </w:r>
          </w:p>
        </w:tc>
        <w:tc>
          <w:tcPr>
            <w:tcW w:w="6863" w:type="dxa"/>
            <w:vAlign w:val="center"/>
          </w:tcPr>
          <w:p w14:paraId="78752B8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（1）响应文件的正本需打印或用不褪色的墨水填写，响应文件正本除本磋商文件中规定的可提供复印件外均须提供原件。</w:t>
            </w:r>
          </w:p>
          <w:p w14:paraId="7B938866">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（2）响应文件须由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在规定位置盖单位公章并由法定代表人或授权委托代理人签署，</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应写全称。</w:t>
            </w:r>
          </w:p>
          <w:p w14:paraId="364FDA1D">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（3）响应文件不得涂改，若有修改错漏处，须加盖单位公章及法定代表人或授权委托代理人签字或盖印鉴章。响应文件因字迹潦草或表达不清所引起的后果由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w:t>
            </w:r>
          </w:p>
          <w:p w14:paraId="2036ED44">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（4）响应文件的扫描件、复印件、身份证件、合同复印件、公章、字体等内容必须清晰可辨，否则响应文件视为无效。</w:t>
            </w:r>
          </w:p>
          <w:p w14:paraId="56ABECF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应按第六章响应文件格式规定的顺序自编目录及页码装订，响应文件的封面应注明“正本”、“副本”字样，封面上写明项目名称、项目编号、</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单位名称。</w:t>
            </w:r>
          </w:p>
          <w:p w14:paraId="6DA4159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（6）将响应文件“正本”签字盖章后扫描，制作成不可编辑的PDF文档刻在光盘或U盘上，装入响应文件袋中。</w:t>
            </w:r>
          </w:p>
          <w:p w14:paraId="1EFA540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（7）未按规定或标记的响应文件将被拒绝，由此造成的响应文件被误投或提前拆封的风险由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tc>
      </w:tr>
      <w:tr w14:paraId="1F1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B8CEA4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765" w:type="dxa"/>
            <w:vAlign w:val="center"/>
          </w:tcPr>
          <w:p w14:paraId="1C4E7E8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863" w:type="dxa"/>
            <w:vAlign w:val="center"/>
          </w:tcPr>
          <w:p w14:paraId="417E2BB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（1）按照响应文件组成内容，先做成纸质文件→签字盖章→扫描→刻在光盘或U盘上。</w:t>
            </w:r>
          </w:p>
          <w:p w14:paraId="2779CC7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（2）响应文件正本、副本按照响应文件组成内容，单独装订成册并标注页码，装订应牢固、不易拆散和换页，不得采用活页装订。</w:t>
            </w:r>
          </w:p>
        </w:tc>
      </w:tr>
      <w:tr w14:paraId="69EB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35669D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765" w:type="dxa"/>
            <w:vAlign w:val="center"/>
          </w:tcPr>
          <w:p w14:paraId="69C8A14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包装、密封</w:t>
            </w:r>
          </w:p>
        </w:tc>
        <w:tc>
          <w:tcPr>
            <w:tcW w:w="6863" w:type="dxa"/>
            <w:vAlign w:val="center"/>
          </w:tcPr>
          <w:p w14:paraId="5AB5DA9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（1）正本、副本、光盘或U盘密封在一个响应文件密封袋中，封贴处须盖章（公章或密封章）或法定代表人或其授权代表签字。</w:t>
            </w:r>
          </w:p>
          <w:p w14:paraId="0F75B92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（2）密封袋封面上注明</w:t>
            </w:r>
          </w:p>
          <w:p w14:paraId="0D3F0A6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单位名称：</w:t>
            </w:r>
          </w:p>
          <w:p w14:paraId="0BA13F9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b/>
                <w:bCs/>
                <w:color w:val="auto"/>
                <w:sz w:val="21"/>
                <w:szCs w:val="21"/>
                <w:highlight w:val="none"/>
                <w:lang w:val="en-US" w:eastAsia="zh-CN"/>
              </w:rPr>
              <w:t>桂林银行</w:t>
            </w:r>
            <w:r>
              <w:rPr>
                <w:rFonts w:hint="eastAsia" w:ascii="宋体" w:hAnsi="宋体" w:cs="宋体"/>
                <w:b/>
                <w:bCs/>
                <w:color w:val="auto"/>
                <w:sz w:val="21"/>
                <w:szCs w:val="21"/>
                <w:highlight w:val="none"/>
                <w:lang w:eastAsia="zh-CN"/>
              </w:rPr>
              <w:t>中国-东盟金融人工智能服务共享网络节点建设项目</w:t>
            </w:r>
          </w:p>
          <w:p w14:paraId="491E4EAD">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014</w:t>
            </w:r>
          </w:p>
          <w:p w14:paraId="41A9F90D">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w:t>
            </w:r>
            <w:r>
              <w:rPr>
                <w:rFonts w:hint="eastAsia" w:ascii="宋体" w:hAnsi="宋体" w:eastAsia="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年</w:t>
            </w:r>
            <w:r>
              <w:rPr>
                <w:rFonts w:hint="eastAsia" w:ascii="宋体" w:hAnsi="宋体" w:cs="宋体"/>
                <w:b/>
                <w:color w:val="auto"/>
                <w:sz w:val="21"/>
                <w:szCs w:val="21"/>
                <w:highlight w:val="none"/>
                <w:lang w:val="en-US" w:eastAsia="zh-CN"/>
              </w:rPr>
              <w:t>1</w:t>
            </w:r>
            <w:r>
              <w:rPr>
                <w:rFonts w:hint="eastAsia" w:ascii="宋体" w:hAnsi="宋体" w:eastAsia="宋体" w:cs="宋体"/>
                <w:b/>
                <w:color w:val="auto"/>
                <w:sz w:val="21"/>
                <w:szCs w:val="21"/>
                <w:highlight w:val="none"/>
              </w:rPr>
              <w:t>月</w:t>
            </w:r>
            <w:r>
              <w:rPr>
                <w:rFonts w:hint="eastAsia" w:ascii="宋体" w:hAnsi="宋体" w:cs="宋体"/>
                <w:b/>
                <w:color w:val="auto"/>
                <w:sz w:val="21"/>
                <w:szCs w:val="21"/>
                <w:highlight w:val="none"/>
                <w:lang w:val="en-US" w:eastAsia="zh-CN"/>
              </w:rPr>
              <w:t>29</w:t>
            </w:r>
            <w:r>
              <w:rPr>
                <w:rFonts w:hint="eastAsia" w:ascii="宋体" w:hAnsi="宋体" w:eastAsia="宋体" w:cs="宋体"/>
                <w:b/>
                <w:color w:val="auto"/>
                <w:sz w:val="21"/>
                <w:szCs w:val="21"/>
                <w:highlight w:val="none"/>
              </w:rPr>
              <w:t>日9时00分前</w:t>
            </w:r>
            <w:r>
              <w:rPr>
                <w:rFonts w:hint="eastAsia" w:ascii="宋体" w:hAnsi="宋体" w:eastAsia="宋体" w:cs="宋体"/>
                <w:color w:val="auto"/>
                <w:sz w:val="21"/>
                <w:szCs w:val="21"/>
                <w:highlight w:val="none"/>
              </w:rPr>
              <w:t>不得开启</w:t>
            </w:r>
          </w:p>
        </w:tc>
      </w:tr>
      <w:tr w14:paraId="1DA9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5A051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765" w:type="dxa"/>
            <w:vAlign w:val="center"/>
          </w:tcPr>
          <w:p w14:paraId="1636CA4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响应文件递交截止时间及截标时间</w:t>
            </w:r>
          </w:p>
        </w:tc>
        <w:tc>
          <w:tcPr>
            <w:tcW w:w="6863" w:type="dxa"/>
            <w:vAlign w:val="center"/>
          </w:tcPr>
          <w:p w14:paraId="01ECC95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见第一章竞争性磋商公告要求。</w:t>
            </w:r>
          </w:p>
        </w:tc>
      </w:tr>
      <w:tr w14:paraId="7A7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3EC6360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765" w:type="dxa"/>
            <w:vAlign w:val="center"/>
          </w:tcPr>
          <w:p w14:paraId="5484DA2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磋商时间及地点</w:t>
            </w:r>
          </w:p>
        </w:tc>
        <w:tc>
          <w:tcPr>
            <w:tcW w:w="6863" w:type="dxa"/>
          </w:tcPr>
          <w:p w14:paraId="5979F62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磋商时间：见第一章竞争性磋商公告要求。</w:t>
            </w:r>
          </w:p>
          <w:p w14:paraId="1888F61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磋商地点：广西桂林市临桂区公园北路8号桂林金融大厦A附楼三楼</w:t>
            </w:r>
          </w:p>
          <w:p w14:paraId="02B030F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（1）评审小组会要求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在规定的时间内参加磋商、递交最终磋商报价及应答。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递交的应答文件、最终报价等材料必须由法定代表人或委托代理人签章或加盖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的公章确认。</w:t>
            </w:r>
          </w:p>
          <w:p w14:paraId="33DA840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未提供联系方式，致使采购人或评审小组在项目评标期间无法与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取得联系的，或因自身原因未能保持电话畅通或未按评审小组要求提交响应文件、最终响应报价等材料的，后果由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w:t>
            </w:r>
          </w:p>
        </w:tc>
      </w:tr>
      <w:tr w14:paraId="145A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4CFA250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765" w:type="dxa"/>
            <w:vAlign w:val="center"/>
          </w:tcPr>
          <w:p w14:paraId="3D6BBD4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响应文件的修改</w:t>
            </w:r>
          </w:p>
        </w:tc>
        <w:tc>
          <w:tcPr>
            <w:tcW w:w="6863" w:type="dxa"/>
            <w:vAlign w:val="center"/>
          </w:tcPr>
          <w:p w14:paraId="01704C1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在响应文件截止时间之前，可以对已递交的响应文件进行修改或撤回，并书面通知采购人。撤回或修改响应文件的书面通知应由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法定代表人或其授权代表签字确认；修改后重新递交的响应文件应当在封套上标明“修改响应文件”字样并密封，在响应文件截止时间前送达，未按要求递交的采购人可以拒收。</w:t>
            </w:r>
          </w:p>
          <w:p w14:paraId="6D45E3F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（2）响应文件截止时间后的磋商有效期内，</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不得撤回、修改响应文件。</w:t>
            </w:r>
          </w:p>
        </w:tc>
      </w:tr>
      <w:tr w14:paraId="6C8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7B8FD22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765" w:type="dxa"/>
            <w:vAlign w:val="center"/>
          </w:tcPr>
          <w:p w14:paraId="6F46335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响应文件有效期</w:t>
            </w:r>
          </w:p>
        </w:tc>
        <w:tc>
          <w:tcPr>
            <w:tcW w:w="6863" w:type="dxa"/>
          </w:tcPr>
          <w:p w14:paraId="283C0E7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供应商响应文件递交截止之日起60</w:t>
            </w:r>
            <w:r>
              <w:rPr>
                <w:rFonts w:hint="eastAsia" w:ascii="宋体" w:hAnsi="宋体" w:eastAsia="宋体" w:cs="宋体"/>
                <w:color w:val="auto"/>
                <w:sz w:val="21"/>
                <w:szCs w:val="21"/>
                <w:highlight w:val="none"/>
                <w:lang w:val="en-US" w:eastAsia="zh-CN"/>
              </w:rPr>
              <w:t>日历天</w:t>
            </w:r>
            <w:r>
              <w:rPr>
                <w:rFonts w:hint="eastAsia" w:ascii="宋体" w:hAnsi="宋体" w:eastAsia="宋体" w:cs="宋体"/>
                <w:color w:val="auto"/>
                <w:sz w:val="21"/>
                <w:szCs w:val="21"/>
                <w:highlight w:val="none"/>
              </w:rPr>
              <w:t>。响应有效期不足的响应文件将被否决。在特殊情况下，采购人可与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协商延长响应文件的有效期，这种要求和答复均以书面形式进行。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可拒绝接受延期要求而不会导致磋商保证金被没收。同意延长有效期的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需要相应延长磋商保证金的有效期，但不能修改响应文件。</w:t>
            </w:r>
          </w:p>
          <w:p w14:paraId="0389294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（2）成交供应商的响应文件有效期自响应文件提交截止之日起至合同履行完毕止均应保持有效。</w:t>
            </w:r>
          </w:p>
        </w:tc>
      </w:tr>
      <w:tr w14:paraId="1026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A858F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765" w:type="dxa"/>
            <w:vAlign w:val="center"/>
          </w:tcPr>
          <w:p w14:paraId="569B6F2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磋商程序</w:t>
            </w:r>
          </w:p>
        </w:tc>
        <w:tc>
          <w:tcPr>
            <w:tcW w:w="6863" w:type="dxa"/>
          </w:tcPr>
          <w:p w14:paraId="1C31228A">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（1）磋商时间和地点：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代表应在接到采购人通知后半小时内到达磋商现场，否则视为自动放弃磋商。</w:t>
            </w:r>
          </w:p>
          <w:p w14:paraId="3AAB6DF5">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（2）磋商代表：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可派授权代表1名或法定代表人参加磋商，磋商必须持有效证件。</w:t>
            </w:r>
          </w:p>
          <w:p w14:paraId="19DB001C">
            <w:pPr>
              <w:keepNext w:val="0"/>
              <w:keepLines w:val="0"/>
              <w:pageBreakBefore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（3）评审小组在磋商中可能实质性变动的内容：项目需求中的技术、服务要求以及合同草案条款。</w:t>
            </w:r>
          </w:p>
          <w:p w14:paraId="2B32274F">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（4）磋商流程</w:t>
            </w:r>
          </w:p>
          <w:p w14:paraId="4E988D2B">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①宣布磋商会议开始。</w:t>
            </w:r>
          </w:p>
          <w:p w14:paraId="3D8B1628">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②评审响应文件。</w:t>
            </w:r>
          </w:p>
          <w:p w14:paraId="282A978C">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③磋商。</w:t>
            </w:r>
          </w:p>
          <w:p w14:paraId="121F69CD">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④最后报价。</w:t>
            </w:r>
          </w:p>
          <w:p w14:paraId="64124F80">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w:t>
            </w:r>
            <w:r>
              <w:rPr>
                <w:rFonts w:hint="eastAsia" w:ascii="宋体" w:hAnsi="宋体" w:eastAsia="宋体" w:cs="宋体"/>
                <w:color w:val="auto"/>
                <w:sz w:val="21"/>
                <w:szCs w:val="21"/>
                <w:highlight w:val="none"/>
                <w:lang w:val="en-US" w:eastAsia="zh-CN"/>
              </w:rPr>
              <w:t>综合比较和评价。</w:t>
            </w:r>
          </w:p>
          <w:p w14:paraId="46216A5C">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⑥</w:t>
            </w:r>
            <w:r>
              <w:rPr>
                <w:rFonts w:hint="eastAsia" w:ascii="宋体" w:hAnsi="宋体" w:eastAsia="宋体" w:cs="宋体"/>
                <w:color w:val="auto"/>
                <w:sz w:val="21"/>
                <w:szCs w:val="21"/>
                <w:highlight w:val="none"/>
              </w:rPr>
              <w:t>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名单。</w:t>
            </w:r>
          </w:p>
        </w:tc>
      </w:tr>
      <w:tr w14:paraId="4CD0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546CDA0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765" w:type="dxa"/>
            <w:vAlign w:val="center"/>
          </w:tcPr>
          <w:p w14:paraId="799A02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w:t>
            </w:r>
          </w:p>
        </w:tc>
        <w:tc>
          <w:tcPr>
            <w:tcW w:w="6863" w:type="dxa"/>
            <w:vAlign w:val="center"/>
          </w:tcPr>
          <w:p w14:paraId="597D06DC">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采购结果公示发布于桂林银行股份有限公司官网https://www.guilinbank.com.cn/</w:t>
            </w:r>
            <w:r>
              <w:rPr>
                <w:rFonts w:hint="eastAsia" w:ascii="宋体" w:hAnsi="宋体" w:eastAsia="宋体" w:cs="宋体"/>
                <w:color w:val="auto"/>
                <w:kern w:val="0"/>
                <w:sz w:val="21"/>
                <w:szCs w:val="21"/>
                <w:highlight w:val="none"/>
              </w:rPr>
              <w:t>，广西阳光采购服务平台https://ygcgxz.bbwcq.com/#/index</w:t>
            </w:r>
          </w:p>
        </w:tc>
      </w:tr>
      <w:tr w14:paraId="3A25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36D8694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765" w:type="dxa"/>
            <w:vAlign w:val="center"/>
          </w:tcPr>
          <w:p w14:paraId="7C9CC0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w:t>
            </w:r>
          </w:p>
        </w:tc>
        <w:tc>
          <w:tcPr>
            <w:tcW w:w="6863" w:type="dxa"/>
          </w:tcPr>
          <w:p w14:paraId="235E7A0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（1）排名</w:t>
            </w:r>
            <w:r>
              <w:rPr>
                <w:rFonts w:hint="eastAsia" w:ascii="宋体" w:hAnsi="宋体" w:eastAsia="宋体" w:cs="宋体"/>
                <w:b/>
                <w:bCs/>
                <w:color w:val="auto"/>
                <w:sz w:val="24"/>
                <w:szCs w:val="24"/>
                <w:highlight w:val="none"/>
              </w:rPr>
              <w:t>第1</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领取合作通知书后，应当自合作通知书发出之日起30日内，按照磋商文件和响应文件的规定，与采购人签订书面合同。若</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拒绝与采购人签订合同的，采购人可以按照评审报告得分排序，确定下一</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为成交供应商，也可以重新开展采购活动。</w:t>
            </w:r>
          </w:p>
          <w:p w14:paraId="36F44DB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所签订的合同不得对磋商文件确定的事项和成交供应商响应文件作实质性修改。</w:t>
            </w:r>
          </w:p>
          <w:p w14:paraId="02B83A9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3258BD6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（3）如成交供应商有下列情形之一的，将其列入不良行为记录名单，在一至三年内禁止参加桂林银行采购活动，并予以通报。采购人可从评审</w:t>
            </w:r>
            <w:r>
              <w:rPr>
                <w:rFonts w:hint="eastAsia" w:ascii="宋体" w:hAnsi="宋体" w:eastAsia="宋体" w:cs="宋体"/>
                <w:color w:val="auto"/>
                <w:sz w:val="21"/>
                <w:szCs w:val="21"/>
                <w:highlight w:val="none"/>
                <w:lang w:val="en-US" w:eastAsia="zh-CN"/>
              </w:rPr>
              <w:t>小组</w:t>
            </w:r>
            <w:r>
              <w:rPr>
                <w:rFonts w:hint="eastAsia" w:ascii="宋体" w:hAnsi="宋体" w:eastAsia="宋体" w:cs="宋体"/>
                <w:color w:val="auto"/>
                <w:sz w:val="21"/>
                <w:szCs w:val="21"/>
                <w:highlight w:val="none"/>
              </w:rPr>
              <w:t>推荐的</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中按顺序重新确定成交供应商，组织供需双方签订合同或重新组织采购。</w:t>
            </w:r>
          </w:p>
          <w:p w14:paraId="4432E5D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后不与采购人签订合同的（不可抗力除外）；</w:t>
            </w:r>
          </w:p>
          <w:p w14:paraId="054F6AA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②将项目转让给他人，或者在响应文件中未说明，且未经采购人同意，将项目分包给他人的；</w:t>
            </w:r>
          </w:p>
          <w:p w14:paraId="6904265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③拒绝履行合同义务的。</w:t>
            </w:r>
          </w:p>
        </w:tc>
      </w:tr>
      <w:tr w14:paraId="7E4A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1807E1D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765" w:type="dxa"/>
            <w:vAlign w:val="center"/>
          </w:tcPr>
          <w:p w14:paraId="649002C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定义或说明</w:t>
            </w:r>
          </w:p>
        </w:tc>
        <w:tc>
          <w:tcPr>
            <w:tcW w:w="6863" w:type="dxa"/>
          </w:tcPr>
          <w:p w14:paraId="1E30A8E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（1）“采购人”是指桂林银行股份有限公司。</w:t>
            </w:r>
          </w:p>
          <w:p w14:paraId="5E9F8E3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”是指符合本次磋商项目的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资格并提交响应文件的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43C2660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（3）“响应文件”是指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按照磋商文件要求编写，并向采购人递交的有效的文字说明、表格、图表等文件，如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对响应文件进行有效的补充、修改、澄清或说明则该补充、修改、澄清和说明构成响应文件不可分割的一部分（以下简称“响应文件”）。</w:t>
            </w:r>
          </w:p>
          <w:p w14:paraId="6607C40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color w:val="auto"/>
                <w:highlight w:val="none"/>
                <w:lang w:val="en-US" w:eastAsia="zh-CN"/>
              </w:rPr>
              <w:t>服务</w:t>
            </w:r>
            <w:r>
              <w:rPr>
                <w:rFonts w:hint="eastAsia" w:ascii="宋体" w:hAnsi="宋体" w:eastAsia="宋体" w:cs="宋体"/>
                <w:color w:val="auto"/>
                <w:sz w:val="21"/>
                <w:szCs w:val="21"/>
                <w:highlight w:val="none"/>
              </w:rPr>
              <w:t>”</w:t>
            </w:r>
            <w:r>
              <w:rPr>
                <w:rFonts w:hint="eastAsia"/>
                <w:color w:val="auto"/>
                <w:highlight w:val="none"/>
                <w:lang w:val="en-US" w:eastAsia="zh-CN"/>
              </w:rPr>
              <w:t>是指</w:t>
            </w:r>
            <w:r>
              <w:rPr>
                <w:rFonts w:hint="eastAsia"/>
                <w:color w:val="auto"/>
                <w:highlight w:val="none"/>
              </w:rPr>
              <w:t>本项目采购标的涉及的全部服务内容及其他相关的义务</w:t>
            </w:r>
            <w:r>
              <w:rPr>
                <w:rFonts w:hint="eastAsia" w:ascii="宋体" w:hAnsi="宋体" w:eastAsia="宋体" w:cs="宋体"/>
                <w:color w:val="auto"/>
                <w:sz w:val="21"/>
                <w:szCs w:val="21"/>
                <w:highlight w:val="none"/>
              </w:rPr>
              <w:t>。</w:t>
            </w:r>
          </w:p>
          <w:p w14:paraId="62FB07A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（5）“书面形式”包括信函、传真、电报、电子邮件。</w:t>
            </w:r>
          </w:p>
          <w:p w14:paraId="40BB2DFD">
            <w:pPr>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应保证其提供的联系方式（电话、传真、电子邮件）有效，以保证往来函件（澄清、修改等）能及时通知</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，并能及时反馈，否则采购人不承担由此引起的一切后果。</w:t>
            </w:r>
          </w:p>
          <w:p w14:paraId="70918824">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（7）本项目所有响应文件均不予退还。</w:t>
            </w:r>
          </w:p>
          <w:p w14:paraId="1772BAE7">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磋商所使用的资格、信誉、荣誉、业绩与企业认证必须为本法人所拥有。</w:t>
            </w:r>
          </w:p>
          <w:p w14:paraId="361B5CA5">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应仔细阅读磋商文件的所有内容，按照磋商文件的要求提交响应文件，并对所提供的全部资料的真实性承担法律责任。</w:t>
            </w:r>
          </w:p>
          <w:p w14:paraId="0F527C74">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在磋商活动中提供任何虚假材料，其报价无效；</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后发现的，成交供应商须依照《中华人民共和国消费者权益保护法》第49条之规定双倍赔偿采购人，且民事赔偿并不免除违法磋商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的行政与刑事责任。</w:t>
            </w:r>
          </w:p>
          <w:p w14:paraId="0E5E7606">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应自行承担所有与编写和提交响应文件有关的费用，不论磋商结果如何，采购人在任何情况下无义务和责任承担此类费用。</w:t>
            </w:r>
          </w:p>
          <w:p w14:paraId="0A7756B5">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（12）响应文件以及</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与采购人就有关磋商事宜的所有来往函电，均应以中文汉语书写。</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提交的支持文件和印刷的文献可以使用别的语言，但其相应内容必须附有中文翻译文本，在解释响应文件时，以中文翻译文本为准。</w:t>
            </w:r>
          </w:p>
          <w:p w14:paraId="074CEC6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（13）磋商计量单位，磋商文件已有明确规定的，使用磋商文件规定的计量单位；磋商文件没有规定的，应采用中华人民共和国法定计量单位（货币单位：人民币元），否则视同未响应。</w:t>
            </w:r>
          </w:p>
        </w:tc>
      </w:tr>
      <w:tr w14:paraId="4B13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2AC401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765" w:type="dxa"/>
            <w:vAlign w:val="center"/>
          </w:tcPr>
          <w:p w14:paraId="208A04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863" w:type="dxa"/>
          </w:tcPr>
          <w:p w14:paraId="2382805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本磋商文件参照有关法律法规和采购管理的有关规定及参照国际惯例编制，解释权属于采购人。</w:t>
            </w:r>
          </w:p>
        </w:tc>
      </w:tr>
      <w:tr w14:paraId="1FEB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61CA70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65" w:type="dxa"/>
            <w:vAlign w:val="center"/>
          </w:tcPr>
          <w:p w14:paraId="6D328ED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w:t>
            </w:r>
          </w:p>
        </w:tc>
        <w:tc>
          <w:tcPr>
            <w:tcW w:w="6863" w:type="dxa"/>
          </w:tcPr>
          <w:p w14:paraId="497EB119">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认为</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结果使自己的合法权益受到损害的，应当在知道或者应知其权益受到损害之日起3个工作日内，以书面形式向采购人提出质疑，采购人应认真做好质疑处理工作。</w:t>
            </w:r>
          </w:p>
          <w:p w14:paraId="3163713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（2）质疑、投诉应当采用书面形式，质疑书、投诉书实行实名制，均应明确阐述</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结果中使自己合法权益受到损害的实质性内容，提供相关事实、依据和证据及其来源或线索，便于有关部门调查、答复和处理。</w:t>
            </w:r>
          </w:p>
        </w:tc>
      </w:tr>
      <w:tr w14:paraId="1998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141AEF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65" w:type="dxa"/>
            <w:vAlign w:val="center"/>
          </w:tcPr>
          <w:p w14:paraId="4C446E3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监督及投诉</w:t>
            </w:r>
          </w:p>
        </w:tc>
        <w:tc>
          <w:tcPr>
            <w:tcW w:w="6863" w:type="dxa"/>
          </w:tcPr>
          <w:p w14:paraId="7CD4DBB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对采购人的答复不满意或者采购人未在规定的时间内作出答复的，可以在答复期满后十五个工作日内向桂林银行监察部门提出投诉。监察部门联系方式：</w:t>
            </w:r>
          </w:p>
          <w:p w14:paraId="55B1520C">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联系人：桂林银行股份有限公司党委纪检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p>
          <w:p w14:paraId="5D611CE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联系电话：0773-3687234</w:t>
            </w:r>
          </w:p>
          <w:p w14:paraId="4A7F716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地址：桂林市临桂区公园北路8号金融大厦</w:t>
            </w:r>
            <w:r>
              <w:rPr>
                <w:rFonts w:hint="eastAsia" w:ascii="宋体" w:hAnsi="宋体" w:eastAsia="宋体" w:cs="宋体"/>
                <w:color w:val="auto"/>
                <w:sz w:val="21"/>
                <w:szCs w:val="21"/>
                <w:highlight w:val="none"/>
                <w:lang w:val="en-US" w:eastAsia="zh-CN"/>
              </w:rPr>
              <w:t>A附楼二</w:t>
            </w:r>
            <w:r>
              <w:rPr>
                <w:rFonts w:hint="eastAsia" w:ascii="宋体" w:hAnsi="宋体" w:eastAsia="宋体" w:cs="宋体"/>
                <w:color w:val="auto"/>
                <w:sz w:val="21"/>
                <w:szCs w:val="21"/>
                <w:highlight w:val="none"/>
              </w:rPr>
              <w:t>楼</w:t>
            </w:r>
          </w:p>
          <w:p w14:paraId="48DB530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邮箱：jjb@guilinbank.com.cn</w:t>
            </w:r>
          </w:p>
        </w:tc>
      </w:tr>
    </w:tbl>
    <w:p w14:paraId="39BC983B">
      <w:pPr>
        <w:spacing w:line="400" w:lineRule="exact"/>
        <w:rPr>
          <w:b/>
          <w:bCs/>
          <w:color w:val="auto"/>
          <w:sz w:val="28"/>
          <w:szCs w:val="28"/>
          <w:highlight w:val="none"/>
        </w:rPr>
        <w:sectPr>
          <w:headerReference r:id="rId6" w:type="default"/>
          <w:footerReference r:id="rId7"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p>
    <w:p w14:paraId="5A685243">
      <w:pPr>
        <w:pStyle w:val="38"/>
        <w:rPr>
          <w:color w:val="auto"/>
          <w:highlight w:val="none"/>
        </w:rPr>
      </w:pPr>
      <w:bookmarkStart w:id="102" w:name="_Toc18975"/>
      <w:bookmarkStart w:id="103" w:name="_Toc12257"/>
      <w:bookmarkStart w:id="104" w:name="_Toc15406"/>
      <w:bookmarkStart w:id="105" w:name="_Toc5599"/>
      <w:bookmarkStart w:id="106" w:name="_Toc26871"/>
      <w:bookmarkStart w:id="107" w:name="_Toc20167"/>
      <w:bookmarkStart w:id="108" w:name="_Toc10489"/>
      <w:bookmarkStart w:id="109" w:name="_Toc19574"/>
      <w:bookmarkStart w:id="110" w:name="_Toc23021"/>
      <w:bookmarkStart w:id="111" w:name="_Toc22989"/>
      <w:bookmarkStart w:id="112" w:name="_Toc1183"/>
      <w:bookmarkStart w:id="113" w:name="_Toc13939"/>
      <w:bookmarkStart w:id="114" w:name="_Toc24423"/>
      <w:bookmarkStart w:id="115" w:name="_Toc6561"/>
      <w:bookmarkStart w:id="116" w:name="_Toc13335"/>
      <w:bookmarkStart w:id="117" w:name="_Toc9951098"/>
      <w:bookmarkStart w:id="118" w:name="_Toc19029"/>
      <w:bookmarkStart w:id="119" w:name="_Toc12875"/>
      <w:bookmarkStart w:id="120" w:name="_Toc2169"/>
      <w:bookmarkStart w:id="121" w:name="_Toc5081"/>
      <w:bookmarkStart w:id="122" w:name="_Toc853"/>
      <w:bookmarkStart w:id="123" w:name="_Toc21479"/>
      <w:bookmarkStart w:id="124" w:name="_Toc25824"/>
      <w:bookmarkStart w:id="125" w:name="_Toc21311"/>
      <w:bookmarkStart w:id="126" w:name="_Toc15790"/>
      <w:bookmarkStart w:id="127" w:name="_Toc17417"/>
      <w:bookmarkStart w:id="128" w:name="_Toc21561"/>
      <w:bookmarkStart w:id="129" w:name="_Toc13323"/>
      <w:bookmarkStart w:id="130" w:name="_Toc7432"/>
      <w:bookmarkStart w:id="131" w:name="_Toc20390"/>
      <w:bookmarkStart w:id="132" w:name="_Toc879"/>
      <w:bookmarkStart w:id="133" w:name="_Toc2576"/>
      <w:bookmarkStart w:id="134" w:name="_Toc17934"/>
      <w:bookmarkStart w:id="135" w:name="_Toc6736"/>
      <w:bookmarkStart w:id="136" w:name="_Toc3063"/>
      <w:bookmarkStart w:id="137" w:name="_Toc21533"/>
      <w:bookmarkStart w:id="138" w:name="_Toc335"/>
      <w:bookmarkStart w:id="139" w:name="_Toc8248"/>
      <w:bookmarkStart w:id="140" w:name="_Toc5694"/>
      <w:bookmarkStart w:id="141" w:name="_Toc30610"/>
      <w:bookmarkStart w:id="142" w:name="_Toc24199"/>
      <w:r>
        <w:rPr>
          <w:rFonts w:hint="eastAsia"/>
          <w:color w:val="auto"/>
          <w:highlight w:val="none"/>
        </w:rPr>
        <w:t>第三章　项目需求</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E792479">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43" w:name="_Toc31649"/>
      <w:r>
        <w:rPr>
          <w:rFonts w:hint="eastAsia" w:asciiTheme="minorEastAsia" w:hAnsiTheme="minorEastAsia" w:eastAsiaTheme="minorEastAsia" w:cstheme="minorEastAsia"/>
          <w:b w:val="0"/>
          <w:bCs w:val="0"/>
          <w:color w:val="auto"/>
          <w:spacing w:val="-1"/>
          <w:sz w:val="21"/>
          <w:szCs w:val="21"/>
          <w:highlight w:val="none"/>
          <w:lang w:eastAsia="zh-CN"/>
        </w:rPr>
        <w:t>本次项目内容将建设可信算力节点管理平台和可信应用节点管理平台</w:t>
      </w:r>
      <w:bookmarkEnd w:id="143"/>
    </w:p>
    <w:p w14:paraId="40B13463">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44" w:name="_Toc27774"/>
      <w:r>
        <w:rPr>
          <w:rFonts w:hint="eastAsia" w:asciiTheme="minorEastAsia" w:hAnsiTheme="minorEastAsia" w:eastAsiaTheme="minorEastAsia" w:cstheme="minorEastAsia"/>
          <w:b w:val="0"/>
          <w:bCs w:val="0"/>
          <w:color w:val="auto"/>
          <w:spacing w:val="-1"/>
          <w:sz w:val="21"/>
          <w:szCs w:val="21"/>
          <w:highlight w:val="none"/>
          <w:lang w:val="en-US" w:eastAsia="zh-CN"/>
        </w:rPr>
        <w:t>一、</w:t>
      </w:r>
      <w:r>
        <w:rPr>
          <w:rFonts w:hint="eastAsia" w:asciiTheme="minorEastAsia" w:hAnsiTheme="minorEastAsia" w:eastAsiaTheme="minorEastAsia" w:cstheme="minorEastAsia"/>
          <w:b w:val="0"/>
          <w:bCs w:val="0"/>
          <w:color w:val="auto"/>
          <w:spacing w:val="-1"/>
          <w:sz w:val="21"/>
          <w:szCs w:val="21"/>
          <w:highlight w:val="none"/>
          <w:lang w:eastAsia="zh-CN"/>
        </w:rPr>
        <w:t>项目需求</w:t>
      </w:r>
      <w:bookmarkEnd w:id="144"/>
    </w:p>
    <w:p w14:paraId="4635204F">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45" w:name="_Toc19819"/>
      <w:r>
        <w:rPr>
          <w:rFonts w:hint="eastAsia" w:asciiTheme="minorEastAsia" w:hAnsiTheme="minorEastAsia" w:eastAsiaTheme="minorEastAsia" w:cstheme="minorEastAsia"/>
          <w:b w:val="0"/>
          <w:bCs w:val="0"/>
          <w:color w:val="auto"/>
          <w:spacing w:val="-1"/>
          <w:sz w:val="21"/>
          <w:szCs w:val="21"/>
          <w:highlight w:val="none"/>
          <w:lang w:eastAsia="zh-CN"/>
        </w:rPr>
        <w:t>（</w:t>
      </w:r>
      <w:r>
        <w:rPr>
          <w:rFonts w:hint="eastAsia" w:asciiTheme="minorEastAsia" w:hAnsiTheme="minorEastAsia" w:eastAsiaTheme="minorEastAsia" w:cstheme="minorEastAsia"/>
          <w:b w:val="0"/>
          <w:bCs w:val="0"/>
          <w:color w:val="auto"/>
          <w:spacing w:val="-1"/>
          <w:sz w:val="21"/>
          <w:szCs w:val="21"/>
          <w:highlight w:val="none"/>
          <w:lang w:val="en-US" w:eastAsia="zh-CN"/>
        </w:rPr>
        <w:t>一</w:t>
      </w:r>
      <w:r>
        <w:rPr>
          <w:rFonts w:hint="eastAsia" w:asciiTheme="minorEastAsia" w:hAnsiTheme="minorEastAsia" w:eastAsiaTheme="minorEastAsia" w:cstheme="minorEastAsia"/>
          <w:b w:val="0"/>
          <w:bCs w:val="0"/>
          <w:color w:val="auto"/>
          <w:spacing w:val="-1"/>
          <w:sz w:val="21"/>
          <w:szCs w:val="21"/>
          <w:highlight w:val="none"/>
          <w:lang w:eastAsia="zh-CN"/>
        </w:rPr>
        <w:t>）可信算力节点管理平台</w:t>
      </w:r>
      <w:bookmarkEnd w:id="145"/>
    </w:p>
    <w:p w14:paraId="460306A7">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46" w:name="_Toc17956"/>
      <w:r>
        <w:rPr>
          <w:rFonts w:hint="eastAsia" w:asciiTheme="minorEastAsia" w:hAnsiTheme="minorEastAsia" w:eastAsiaTheme="minorEastAsia" w:cstheme="minorEastAsia"/>
          <w:b w:val="0"/>
          <w:bCs w:val="0"/>
          <w:color w:val="auto"/>
          <w:spacing w:val="-1"/>
          <w:sz w:val="21"/>
          <w:szCs w:val="21"/>
          <w:highlight w:val="none"/>
          <w:lang w:val="en-US" w:eastAsia="zh-CN"/>
        </w:rPr>
        <w:t>1.</w:t>
      </w:r>
      <w:r>
        <w:rPr>
          <w:rFonts w:hint="eastAsia" w:asciiTheme="minorEastAsia" w:hAnsiTheme="minorEastAsia" w:eastAsiaTheme="minorEastAsia" w:cstheme="minorEastAsia"/>
          <w:b w:val="0"/>
          <w:bCs w:val="0"/>
          <w:color w:val="auto"/>
          <w:spacing w:val="-1"/>
          <w:sz w:val="21"/>
          <w:szCs w:val="21"/>
          <w:highlight w:val="none"/>
          <w:lang w:eastAsia="zh-CN"/>
        </w:rPr>
        <w:t>节点认证与GPU管理</w:t>
      </w:r>
      <w:bookmarkEnd w:id="146"/>
    </w:p>
    <w:p w14:paraId="30FD2689">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47" w:name="_Toc30430"/>
      <w:r>
        <w:rPr>
          <w:rFonts w:hint="eastAsia" w:asciiTheme="minorEastAsia" w:hAnsiTheme="minorEastAsia" w:eastAsiaTheme="minorEastAsia" w:cstheme="minorEastAsia"/>
          <w:b w:val="0"/>
          <w:bCs w:val="0"/>
          <w:color w:val="auto"/>
          <w:spacing w:val="-1"/>
          <w:sz w:val="21"/>
          <w:szCs w:val="21"/>
          <w:highlight w:val="none"/>
          <w:lang w:eastAsia="zh-CN"/>
        </w:rPr>
        <w:t>支持自动向超节点发起注册与认证，上报硬件信息以供算力评估；支持Kubernetes集群下的虚拟化vGPU管理，实现算力资源的精细化切分。</w:t>
      </w:r>
      <w:bookmarkEnd w:id="147"/>
    </w:p>
    <w:p w14:paraId="039AFEB2">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48" w:name="_Toc17619"/>
      <w:r>
        <w:rPr>
          <w:rFonts w:hint="eastAsia" w:asciiTheme="minorEastAsia" w:hAnsiTheme="minorEastAsia" w:eastAsiaTheme="minorEastAsia" w:cstheme="minorEastAsia"/>
          <w:b w:val="0"/>
          <w:bCs w:val="0"/>
          <w:color w:val="auto"/>
          <w:spacing w:val="-1"/>
          <w:sz w:val="21"/>
          <w:szCs w:val="21"/>
          <w:highlight w:val="none"/>
          <w:lang w:val="en-US" w:eastAsia="zh-CN"/>
        </w:rPr>
        <w:t>2.</w:t>
      </w:r>
      <w:r>
        <w:rPr>
          <w:rFonts w:hint="eastAsia" w:asciiTheme="minorEastAsia" w:hAnsiTheme="minorEastAsia" w:eastAsiaTheme="minorEastAsia" w:cstheme="minorEastAsia"/>
          <w:b w:val="0"/>
          <w:bCs w:val="0"/>
          <w:color w:val="auto"/>
          <w:spacing w:val="-1"/>
          <w:sz w:val="21"/>
          <w:szCs w:val="21"/>
          <w:highlight w:val="none"/>
          <w:lang w:eastAsia="zh-CN"/>
        </w:rPr>
        <w:t>模型部署与生命周期管理</w:t>
      </w:r>
      <w:bookmarkEnd w:id="148"/>
    </w:p>
    <w:p w14:paraId="098D1F05">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49" w:name="_Toc3003"/>
      <w:r>
        <w:rPr>
          <w:rFonts w:hint="eastAsia" w:asciiTheme="minorEastAsia" w:hAnsiTheme="minorEastAsia" w:eastAsiaTheme="minorEastAsia" w:cstheme="minorEastAsia"/>
          <w:b w:val="0"/>
          <w:bCs w:val="0"/>
          <w:color w:val="auto"/>
          <w:spacing w:val="-1"/>
          <w:sz w:val="21"/>
          <w:szCs w:val="21"/>
          <w:highlight w:val="none"/>
          <w:lang w:eastAsia="zh-CN"/>
        </w:rPr>
        <w:t>支持从超节点获取模型（含预下载、断点续传），自动验证完整性并初始化推理引擎；支持部署模型推理实例，管理实例的启动、停止等全生命周期。</w:t>
      </w:r>
      <w:bookmarkEnd w:id="149"/>
    </w:p>
    <w:p w14:paraId="41BC81F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0" w:name="_Toc28954"/>
      <w:r>
        <w:rPr>
          <w:rFonts w:hint="eastAsia" w:asciiTheme="minorEastAsia" w:hAnsiTheme="minorEastAsia" w:eastAsiaTheme="minorEastAsia" w:cstheme="minorEastAsia"/>
          <w:b w:val="0"/>
          <w:bCs w:val="0"/>
          <w:color w:val="auto"/>
          <w:spacing w:val="-1"/>
          <w:sz w:val="21"/>
          <w:szCs w:val="21"/>
          <w:highlight w:val="none"/>
          <w:lang w:val="en-US" w:eastAsia="zh-CN"/>
        </w:rPr>
        <w:t>3.</w:t>
      </w:r>
      <w:r>
        <w:rPr>
          <w:rFonts w:hint="eastAsia" w:asciiTheme="minorEastAsia" w:hAnsiTheme="minorEastAsia" w:eastAsiaTheme="minorEastAsia" w:cstheme="minorEastAsia"/>
          <w:b w:val="0"/>
          <w:bCs w:val="0"/>
          <w:color w:val="auto"/>
          <w:spacing w:val="-1"/>
          <w:sz w:val="21"/>
          <w:szCs w:val="21"/>
          <w:highlight w:val="none"/>
          <w:lang w:eastAsia="zh-CN"/>
        </w:rPr>
        <w:t>资源计量统计</w:t>
      </w:r>
      <w:bookmarkEnd w:id="150"/>
    </w:p>
    <w:p w14:paraId="1DB4B625">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1" w:name="_Toc28008"/>
      <w:r>
        <w:rPr>
          <w:rFonts w:hint="eastAsia" w:asciiTheme="minorEastAsia" w:hAnsiTheme="minorEastAsia" w:eastAsiaTheme="minorEastAsia" w:cstheme="minorEastAsia"/>
          <w:b w:val="0"/>
          <w:bCs w:val="0"/>
          <w:color w:val="auto"/>
          <w:spacing w:val="-1"/>
          <w:sz w:val="21"/>
          <w:szCs w:val="21"/>
          <w:highlight w:val="none"/>
          <w:lang w:eastAsia="zh-CN"/>
        </w:rPr>
        <w:t>自动统计GPU、CPU、推理请求、Token消耗量等资源使用指标，导出计量数据支撑商业化运营。</w:t>
      </w:r>
      <w:bookmarkEnd w:id="151"/>
    </w:p>
    <w:p w14:paraId="47FB1762">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2" w:name="_Toc9006"/>
      <w:r>
        <w:rPr>
          <w:rFonts w:hint="eastAsia" w:asciiTheme="minorEastAsia" w:hAnsiTheme="minorEastAsia" w:eastAsiaTheme="minorEastAsia" w:cstheme="minorEastAsia"/>
          <w:b w:val="0"/>
          <w:bCs w:val="0"/>
          <w:color w:val="auto"/>
          <w:spacing w:val="-1"/>
          <w:sz w:val="21"/>
          <w:szCs w:val="21"/>
          <w:highlight w:val="none"/>
          <w:lang w:val="en-US" w:eastAsia="zh-CN"/>
        </w:rPr>
        <w:t>4.</w:t>
      </w:r>
      <w:r>
        <w:rPr>
          <w:rFonts w:hint="eastAsia" w:asciiTheme="minorEastAsia" w:hAnsiTheme="minorEastAsia" w:eastAsiaTheme="minorEastAsia" w:cstheme="minorEastAsia"/>
          <w:b w:val="0"/>
          <w:bCs w:val="0"/>
          <w:color w:val="auto"/>
          <w:spacing w:val="-1"/>
          <w:sz w:val="21"/>
          <w:szCs w:val="21"/>
          <w:highlight w:val="none"/>
          <w:lang w:eastAsia="zh-CN"/>
        </w:rPr>
        <w:t>监控与上报</w:t>
      </w:r>
      <w:bookmarkEnd w:id="152"/>
    </w:p>
    <w:p w14:paraId="63B43B99">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3" w:name="_Toc12800"/>
      <w:r>
        <w:rPr>
          <w:rFonts w:hint="eastAsia" w:asciiTheme="minorEastAsia" w:hAnsiTheme="minorEastAsia" w:eastAsiaTheme="minorEastAsia" w:cstheme="minorEastAsia"/>
          <w:b w:val="0"/>
          <w:bCs w:val="0"/>
          <w:color w:val="auto"/>
          <w:spacing w:val="-1"/>
          <w:sz w:val="21"/>
          <w:szCs w:val="21"/>
          <w:highlight w:val="none"/>
          <w:lang w:eastAsia="zh-CN"/>
        </w:rPr>
        <w:t>定期向超节点发送心跳；收集本地请求指标（成功率、响应时间等）及错误日志，并定期汇总上报。</w:t>
      </w:r>
      <w:bookmarkEnd w:id="153"/>
    </w:p>
    <w:p w14:paraId="6AD20B93">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4" w:name="_Toc9353"/>
      <w:r>
        <w:rPr>
          <w:rFonts w:hint="eastAsia" w:asciiTheme="minorEastAsia" w:hAnsiTheme="minorEastAsia" w:eastAsiaTheme="minorEastAsia" w:cstheme="minorEastAsia"/>
          <w:b w:val="0"/>
          <w:bCs w:val="0"/>
          <w:color w:val="auto"/>
          <w:spacing w:val="-1"/>
          <w:sz w:val="21"/>
          <w:szCs w:val="21"/>
          <w:highlight w:val="none"/>
          <w:lang w:eastAsia="zh-CN"/>
        </w:rPr>
        <w:t>（</w:t>
      </w:r>
      <w:r>
        <w:rPr>
          <w:rFonts w:hint="eastAsia" w:asciiTheme="minorEastAsia" w:hAnsiTheme="minorEastAsia" w:eastAsiaTheme="minorEastAsia" w:cstheme="minorEastAsia"/>
          <w:b w:val="0"/>
          <w:bCs w:val="0"/>
          <w:color w:val="auto"/>
          <w:spacing w:val="-1"/>
          <w:sz w:val="21"/>
          <w:szCs w:val="21"/>
          <w:highlight w:val="none"/>
          <w:lang w:val="en-US" w:eastAsia="zh-CN"/>
        </w:rPr>
        <w:t>二</w:t>
      </w:r>
      <w:r>
        <w:rPr>
          <w:rFonts w:hint="eastAsia" w:asciiTheme="minorEastAsia" w:hAnsiTheme="minorEastAsia" w:eastAsiaTheme="minorEastAsia" w:cstheme="minorEastAsia"/>
          <w:b w:val="0"/>
          <w:bCs w:val="0"/>
          <w:color w:val="auto"/>
          <w:spacing w:val="-1"/>
          <w:sz w:val="21"/>
          <w:szCs w:val="21"/>
          <w:highlight w:val="none"/>
          <w:lang w:eastAsia="zh-CN"/>
        </w:rPr>
        <w:t>）可信应用节点管理平台</w:t>
      </w:r>
      <w:bookmarkEnd w:id="154"/>
    </w:p>
    <w:p w14:paraId="28C74DF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5" w:name="_Toc8604"/>
      <w:r>
        <w:rPr>
          <w:rFonts w:hint="eastAsia" w:asciiTheme="minorEastAsia" w:hAnsiTheme="minorEastAsia" w:eastAsiaTheme="minorEastAsia" w:cstheme="minorEastAsia"/>
          <w:b w:val="0"/>
          <w:bCs w:val="0"/>
          <w:color w:val="auto"/>
          <w:spacing w:val="-1"/>
          <w:sz w:val="21"/>
          <w:szCs w:val="21"/>
          <w:highlight w:val="none"/>
          <w:lang w:val="en-US" w:eastAsia="zh-CN"/>
        </w:rPr>
        <w:t>1.</w:t>
      </w:r>
      <w:r>
        <w:rPr>
          <w:rFonts w:hint="eastAsia" w:asciiTheme="minorEastAsia" w:hAnsiTheme="minorEastAsia" w:eastAsiaTheme="minorEastAsia" w:cstheme="minorEastAsia"/>
          <w:b w:val="0"/>
          <w:bCs w:val="0"/>
          <w:color w:val="auto"/>
          <w:spacing w:val="-1"/>
          <w:sz w:val="21"/>
          <w:szCs w:val="21"/>
          <w:highlight w:val="none"/>
          <w:lang w:eastAsia="zh-CN"/>
        </w:rPr>
        <w:t>OpenAI接口代理</w:t>
      </w:r>
      <w:bookmarkEnd w:id="155"/>
    </w:p>
    <w:p w14:paraId="7B55CB63">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6" w:name="_Toc22345"/>
      <w:r>
        <w:rPr>
          <w:rFonts w:hint="eastAsia" w:asciiTheme="minorEastAsia" w:hAnsiTheme="minorEastAsia" w:eastAsiaTheme="minorEastAsia" w:cstheme="minorEastAsia"/>
          <w:b w:val="0"/>
          <w:bCs w:val="0"/>
          <w:color w:val="auto"/>
          <w:spacing w:val="-1"/>
          <w:sz w:val="21"/>
          <w:szCs w:val="21"/>
          <w:highlight w:val="none"/>
          <w:lang w:eastAsia="zh-CN"/>
        </w:rPr>
        <w:t>核心功能：需提供兼容OpenAI标准接口的API服务，允许终端用户使用标准SDK无缝接入，支持请求路由至本地模型或远程算力节点，支持无缝切换API端点，支持流式/非流式响应。</w:t>
      </w:r>
      <w:bookmarkEnd w:id="156"/>
    </w:p>
    <w:p w14:paraId="32CA6C88">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7" w:name="_Toc28352"/>
      <w:r>
        <w:rPr>
          <w:rFonts w:hint="eastAsia" w:asciiTheme="minorEastAsia" w:hAnsiTheme="minorEastAsia" w:eastAsiaTheme="minorEastAsia" w:cstheme="minorEastAsia"/>
          <w:b w:val="0"/>
          <w:bCs w:val="0"/>
          <w:color w:val="auto"/>
          <w:spacing w:val="-1"/>
          <w:sz w:val="21"/>
          <w:szCs w:val="21"/>
          <w:highlight w:val="none"/>
          <w:lang w:val="en-US" w:eastAsia="zh-CN"/>
        </w:rPr>
        <w:t>2.</w:t>
      </w:r>
      <w:r>
        <w:rPr>
          <w:rFonts w:hint="eastAsia" w:asciiTheme="minorEastAsia" w:hAnsiTheme="minorEastAsia" w:eastAsiaTheme="minorEastAsia" w:cstheme="minorEastAsia"/>
          <w:b w:val="0"/>
          <w:bCs w:val="0"/>
          <w:color w:val="auto"/>
          <w:spacing w:val="-1"/>
          <w:sz w:val="21"/>
          <w:szCs w:val="21"/>
          <w:highlight w:val="none"/>
          <w:lang w:eastAsia="zh-CN"/>
        </w:rPr>
        <w:t>节点管理与模型同步</w:t>
      </w:r>
      <w:bookmarkEnd w:id="157"/>
    </w:p>
    <w:p w14:paraId="67772202">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8" w:name="_Toc338"/>
      <w:r>
        <w:rPr>
          <w:rFonts w:hint="eastAsia" w:asciiTheme="minorEastAsia" w:hAnsiTheme="minorEastAsia" w:eastAsiaTheme="minorEastAsia" w:cstheme="minorEastAsia"/>
          <w:b w:val="0"/>
          <w:bCs w:val="0"/>
          <w:color w:val="auto"/>
          <w:spacing w:val="-1"/>
          <w:sz w:val="21"/>
          <w:szCs w:val="21"/>
          <w:highlight w:val="none"/>
          <w:lang w:eastAsia="zh-CN"/>
        </w:rPr>
        <w:t>支持自动注册认证与心跳保活；支持从超节点同步边缘模型至本地GPU服务器，完成完整性校验与引擎初始化。</w:t>
      </w:r>
      <w:bookmarkEnd w:id="158"/>
    </w:p>
    <w:p w14:paraId="3E5E4E2C">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59" w:name="_Toc30571"/>
      <w:r>
        <w:rPr>
          <w:rFonts w:hint="eastAsia" w:asciiTheme="minorEastAsia" w:hAnsiTheme="minorEastAsia" w:eastAsiaTheme="minorEastAsia" w:cstheme="minorEastAsia"/>
          <w:b w:val="0"/>
          <w:bCs w:val="0"/>
          <w:color w:val="auto"/>
          <w:spacing w:val="-1"/>
          <w:sz w:val="21"/>
          <w:szCs w:val="21"/>
          <w:highlight w:val="none"/>
          <w:lang w:val="en-US" w:eastAsia="zh-CN"/>
        </w:rPr>
        <w:t>3.</w:t>
      </w:r>
      <w:r>
        <w:rPr>
          <w:rFonts w:hint="eastAsia" w:asciiTheme="minorEastAsia" w:hAnsiTheme="minorEastAsia" w:eastAsiaTheme="minorEastAsia" w:cstheme="minorEastAsia"/>
          <w:b w:val="0"/>
          <w:bCs w:val="0"/>
          <w:color w:val="auto"/>
          <w:spacing w:val="-1"/>
          <w:sz w:val="21"/>
          <w:szCs w:val="21"/>
          <w:highlight w:val="none"/>
          <w:lang w:eastAsia="zh-CN"/>
        </w:rPr>
        <w:t>部署与监控</w:t>
      </w:r>
      <w:bookmarkEnd w:id="159"/>
    </w:p>
    <w:p w14:paraId="778E1524">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0" w:name="_Toc8617"/>
      <w:r>
        <w:rPr>
          <w:rFonts w:hint="eastAsia" w:asciiTheme="minorEastAsia" w:hAnsiTheme="minorEastAsia" w:eastAsiaTheme="minorEastAsia" w:cstheme="minorEastAsia"/>
          <w:b w:val="0"/>
          <w:bCs w:val="0"/>
          <w:color w:val="auto"/>
          <w:spacing w:val="-1"/>
          <w:sz w:val="21"/>
          <w:szCs w:val="21"/>
          <w:highlight w:val="none"/>
          <w:lang w:eastAsia="zh-CN"/>
        </w:rPr>
        <w:t>支持边缘模型推理实例的部署与管理；自动接收超节点调度分配，动态更新路由配置；支持手动触发重调度，一键切换算力来源。</w:t>
      </w:r>
      <w:bookmarkEnd w:id="160"/>
    </w:p>
    <w:p w14:paraId="60EA256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1" w:name="_Toc31616"/>
      <w:r>
        <w:rPr>
          <w:rFonts w:hint="eastAsia" w:asciiTheme="minorEastAsia" w:hAnsiTheme="minorEastAsia" w:eastAsiaTheme="minorEastAsia" w:cstheme="minorEastAsia"/>
          <w:b w:val="0"/>
          <w:bCs w:val="0"/>
          <w:color w:val="auto"/>
          <w:spacing w:val="-1"/>
          <w:sz w:val="21"/>
          <w:szCs w:val="21"/>
          <w:highlight w:val="none"/>
          <w:lang w:val="en-US" w:eastAsia="zh-CN"/>
        </w:rPr>
        <w:t>4.</w:t>
      </w:r>
      <w:r>
        <w:rPr>
          <w:rFonts w:hint="eastAsia" w:asciiTheme="minorEastAsia" w:hAnsiTheme="minorEastAsia" w:eastAsiaTheme="minorEastAsia" w:cstheme="minorEastAsia"/>
          <w:b w:val="0"/>
          <w:bCs w:val="0"/>
          <w:color w:val="auto"/>
          <w:spacing w:val="-1"/>
          <w:sz w:val="21"/>
          <w:szCs w:val="21"/>
          <w:highlight w:val="none"/>
          <w:lang w:eastAsia="zh-CN"/>
        </w:rPr>
        <w:t>应用使用统计</w:t>
      </w:r>
      <w:bookmarkEnd w:id="161"/>
    </w:p>
    <w:p w14:paraId="18E3F91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2" w:name="_Toc10675"/>
      <w:r>
        <w:rPr>
          <w:rFonts w:hint="eastAsia" w:asciiTheme="minorEastAsia" w:hAnsiTheme="minorEastAsia" w:eastAsiaTheme="minorEastAsia" w:cstheme="minorEastAsia"/>
          <w:b w:val="0"/>
          <w:bCs w:val="0"/>
          <w:color w:val="auto"/>
          <w:spacing w:val="-1"/>
          <w:sz w:val="21"/>
          <w:szCs w:val="21"/>
          <w:highlight w:val="none"/>
          <w:lang w:eastAsia="zh-CN"/>
        </w:rPr>
        <w:t>支持为不同应用创建不同密钥，详细统计各应用的请求量、响应时间、Token消耗，按模型、按时间多维度分析。</w:t>
      </w:r>
      <w:bookmarkEnd w:id="162"/>
    </w:p>
    <w:p w14:paraId="02B8AFD2">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3" w:name="_Toc23460"/>
      <w:r>
        <w:rPr>
          <w:rFonts w:hint="eastAsia" w:asciiTheme="minorEastAsia" w:hAnsiTheme="minorEastAsia" w:eastAsiaTheme="minorEastAsia" w:cstheme="minorEastAsia"/>
          <w:b w:val="0"/>
          <w:bCs w:val="0"/>
          <w:color w:val="auto"/>
          <w:spacing w:val="-1"/>
          <w:sz w:val="21"/>
          <w:szCs w:val="21"/>
          <w:highlight w:val="none"/>
          <w:lang w:eastAsia="zh-CN"/>
        </w:rPr>
        <w:t>（三）项目团队要求</w:t>
      </w:r>
      <w:bookmarkEnd w:id="163"/>
    </w:p>
    <w:p w14:paraId="566AD316">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4" w:name="_Toc298"/>
      <w:r>
        <w:rPr>
          <w:rFonts w:hint="eastAsia" w:asciiTheme="minorEastAsia" w:hAnsiTheme="minorEastAsia" w:eastAsiaTheme="minorEastAsia" w:cstheme="minorEastAsia"/>
          <w:b w:val="0"/>
          <w:bCs w:val="0"/>
          <w:color w:val="auto"/>
          <w:spacing w:val="-1"/>
          <w:sz w:val="21"/>
          <w:szCs w:val="21"/>
          <w:highlight w:val="none"/>
          <w:lang w:eastAsia="zh-CN"/>
        </w:rPr>
        <w:t>项目经理1人，具有不少于2个同类项目经验；团队其他人员具有不少于1个同类项目经验。项目团队全体成员须同时满足以下要求：</w:t>
      </w:r>
      <w:bookmarkEnd w:id="164"/>
    </w:p>
    <w:p w14:paraId="0F8F833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5" w:name="_Toc19386"/>
      <w:r>
        <w:rPr>
          <w:rFonts w:hint="eastAsia" w:asciiTheme="minorEastAsia" w:hAnsiTheme="minorEastAsia" w:eastAsiaTheme="minorEastAsia" w:cstheme="minorEastAsia"/>
          <w:b w:val="0"/>
          <w:bCs w:val="0"/>
          <w:color w:val="auto"/>
          <w:spacing w:val="-1"/>
          <w:sz w:val="21"/>
          <w:szCs w:val="21"/>
          <w:highlight w:val="none"/>
          <w:lang w:eastAsia="zh-CN"/>
        </w:rPr>
        <w:t>1.在项目实施期间，供应商要保持项目实施团队的稳定性，供应商须提供本项目的人员详细情况。</w:t>
      </w:r>
      <w:bookmarkEnd w:id="165"/>
    </w:p>
    <w:p w14:paraId="60D14987">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6" w:name="_Toc13071"/>
      <w:r>
        <w:rPr>
          <w:rFonts w:hint="eastAsia" w:asciiTheme="minorEastAsia" w:hAnsiTheme="minorEastAsia" w:eastAsiaTheme="minorEastAsia" w:cstheme="minorEastAsia"/>
          <w:b w:val="0"/>
          <w:bCs w:val="0"/>
          <w:color w:val="auto"/>
          <w:spacing w:val="-1"/>
          <w:sz w:val="21"/>
          <w:szCs w:val="21"/>
          <w:highlight w:val="none"/>
          <w:lang w:eastAsia="zh-CN"/>
        </w:rPr>
        <w:t>2.深刻理解云原生架构与容器化技术，具备丰富的基于Kubernetes的商业化软件产品部署、配置和高可用集群搭建经验，而非仅限代码开发。</w:t>
      </w:r>
      <w:bookmarkEnd w:id="166"/>
    </w:p>
    <w:p w14:paraId="2A974C9E">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7" w:name="_Toc32431"/>
      <w:r>
        <w:rPr>
          <w:rFonts w:hint="eastAsia" w:asciiTheme="minorEastAsia" w:hAnsiTheme="minorEastAsia" w:eastAsiaTheme="minorEastAsia" w:cstheme="minorEastAsia"/>
          <w:b w:val="0"/>
          <w:bCs w:val="0"/>
          <w:color w:val="auto"/>
          <w:spacing w:val="-1"/>
          <w:sz w:val="21"/>
          <w:szCs w:val="21"/>
          <w:highlight w:val="none"/>
          <w:lang w:eastAsia="zh-CN"/>
        </w:rPr>
        <w:t>3.了解大模型（LLM）服务化（Inference Serving）的基本原理与主流引擎（如vLLM， TGI）；理解GPU虚拟化（vGPU）与算力调度概念，能熟练配置和管理算力节点管理平台。</w:t>
      </w:r>
      <w:bookmarkEnd w:id="167"/>
    </w:p>
    <w:p w14:paraId="341F5DB3">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8" w:name="_Toc21222"/>
      <w:r>
        <w:rPr>
          <w:rFonts w:hint="eastAsia" w:asciiTheme="minorEastAsia" w:hAnsiTheme="minorEastAsia" w:eastAsiaTheme="minorEastAsia" w:cstheme="minorEastAsia"/>
          <w:b w:val="0"/>
          <w:bCs w:val="0"/>
          <w:color w:val="auto"/>
          <w:spacing w:val="-1"/>
          <w:sz w:val="21"/>
          <w:szCs w:val="21"/>
          <w:highlight w:val="none"/>
          <w:lang w:eastAsia="zh-CN"/>
        </w:rPr>
        <w:t>4.熟悉金融行业信息系统安全规范，能够严格按照</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安全要求进行平台部署、网络策略配置、日志审计与监控告警设置。具备故障诊断和应急处理能力。</w:t>
      </w:r>
      <w:bookmarkEnd w:id="168"/>
    </w:p>
    <w:p w14:paraId="1475DC16">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69" w:name="_Toc15664"/>
      <w:r>
        <w:rPr>
          <w:rFonts w:hint="eastAsia" w:asciiTheme="minorEastAsia" w:hAnsiTheme="minorEastAsia" w:eastAsiaTheme="minorEastAsia" w:cstheme="minorEastAsia"/>
          <w:b w:val="0"/>
          <w:bCs w:val="0"/>
          <w:color w:val="auto"/>
          <w:spacing w:val="-1"/>
          <w:sz w:val="21"/>
          <w:szCs w:val="21"/>
          <w:highlight w:val="none"/>
          <w:lang w:eastAsia="zh-CN"/>
        </w:rPr>
        <w:t>5.具有在国产化芯片（如海光、鲲鹏）及操作系统（如统信UOS）环境下，部署和调试复杂商业软件的实际经验，能快速解决兼容性问题。</w:t>
      </w:r>
      <w:bookmarkEnd w:id="169"/>
    </w:p>
    <w:p w14:paraId="292D8F4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0" w:name="_Toc25842"/>
      <w:r>
        <w:rPr>
          <w:rFonts w:hint="eastAsia" w:asciiTheme="minorEastAsia" w:hAnsiTheme="minorEastAsia" w:eastAsiaTheme="minorEastAsia" w:cstheme="minorEastAsia"/>
          <w:b w:val="0"/>
          <w:bCs w:val="0"/>
          <w:color w:val="auto"/>
          <w:spacing w:val="-1"/>
          <w:sz w:val="21"/>
          <w:szCs w:val="21"/>
          <w:highlight w:val="none"/>
          <w:lang w:eastAsia="zh-CN"/>
        </w:rPr>
        <w:t>6.能够编写清晰、完整的部署手册、运维手册和系统架构图，并有效对</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技术人员进行知识转移和操作培训。</w:t>
      </w:r>
      <w:bookmarkEnd w:id="170"/>
    </w:p>
    <w:p w14:paraId="6481B4E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1" w:name="_Toc10109"/>
      <w:r>
        <w:rPr>
          <w:rFonts w:hint="eastAsia" w:asciiTheme="minorEastAsia" w:hAnsiTheme="minorEastAsia" w:eastAsiaTheme="minorEastAsia" w:cstheme="minorEastAsia"/>
          <w:b w:val="0"/>
          <w:bCs w:val="0"/>
          <w:color w:val="auto"/>
          <w:spacing w:val="-1"/>
          <w:sz w:val="21"/>
          <w:szCs w:val="21"/>
          <w:highlight w:val="none"/>
          <w:lang w:eastAsia="zh-CN"/>
        </w:rPr>
        <w:t>7.有较好的沟通和协调能力，积极主动地完成采购人安排的各项工作任务，及时与采购人负责人沟通，解决项目实施中遇到的各类问题。</w:t>
      </w:r>
      <w:bookmarkEnd w:id="171"/>
    </w:p>
    <w:p w14:paraId="3FD47DF6">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2" w:name="_Toc10584"/>
      <w:r>
        <w:rPr>
          <w:rFonts w:hint="eastAsia" w:asciiTheme="minorEastAsia" w:hAnsiTheme="minorEastAsia" w:eastAsiaTheme="minorEastAsia" w:cstheme="minorEastAsia"/>
          <w:b w:val="0"/>
          <w:bCs w:val="0"/>
          <w:color w:val="auto"/>
          <w:spacing w:val="-1"/>
          <w:sz w:val="21"/>
          <w:szCs w:val="21"/>
          <w:highlight w:val="none"/>
          <w:lang w:eastAsia="zh-CN"/>
        </w:rPr>
        <w:t>（四）实施与运维规范</w:t>
      </w:r>
      <w:bookmarkEnd w:id="172"/>
    </w:p>
    <w:p w14:paraId="550A81BD">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3" w:name="_Toc8831"/>
      <w:r>
        <w:rPr>
          <w:rFonts w:hint="eastAsia" w:asciiTheme="minorEastAsia" w:hAnsiTheme="minorEastAsia" w:eastAsiaTheme="minorEastAsia" w:cstheme="minorEastAsia"/>
          <w:b w:val="0"/>
          <w:bCs w:val="0"/>
          <w:color w:val="auto"/>
          <w:spacing w:val="-1"/>
          <w:sz w:val="21"/>
          <w:szCs w:val="21"/>
          <w:highlight w:val="none"/>
          <w:lang w:val="en-US" w:eastAsia="zh-CN"/>
        </w:rPr>
        <w:t>供应商</w:t>
      </w:r>
      <w:r>
        <w:rPr>
          <w:rFonts w:hint="eastAsia" w:asciiTheme="minorEastAsia" w:hAnsiTheme="minorEastAsia" w:eastAsiaTheme="minorEastAsia" w:cstheme="minorEastAsia"/>
          <w:b w:val="0"/>
          <w:bCs w:val="0"/>
          <w:color w:val="auto"/>
          <w:spacing w:val="-1"/>
          <w:sz w:val="21"/>
          <w:szCs w:val="21"/>
          <w:highlight w:val="none"/>
          <w:lang w:eastAsia="zh-CN"/>
        </w:rPr>
        <w:t>须承诺：</w:t>
      </w:r>
      <w:bookmarkEnd w:id="173"/>
    </w:p>
    <w:p w14:paraId="4D90D1DC">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4" w:name="_Toc26960"/>
      <w:r>
        <w:rPr>
          <w:rFonts w:hint="eastAsia" w:asciiTheme="minorEastAsia" w:hAnsiTheme="minorEastAsia" w:eastAsiaTheme="minorEastAsia" w:cstheme="minorEastAsia"/>
          <w:b w:val="0"/>
          <w:bCs w:val="0"/>
          <w:color w:val="auto"/>
          <w:spacing w:val="-1"/>
          <w:sz w:val="21"/>
          <w:szCs w:val="21"/>
          <w:highlight w:val="none"/>
          <w:lang w:eastAsia="zh-CN"/>
        </w:rPr>
        <w:t>1.部署与配置管理规范</w:t>
      </w:r>
      <w:bookmarkEnd w:id="174"/>
    </w:p>
    <w:p w14:paraId="7F952AAD">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5" w:name="_Toc12991"/>
      <w:r>
        <w:rPr>
          <w:rFonts w:hint="eastAsia" w:asciiTheme="minorEastAsia" w:hAnsiTheme="minorEastAsia" w:eastAsiaTheme="minorEastAsia" w:cstheme="minorEastAsia"/>
          <w:b w:val="0"/>
          <w:bCs w:val="0"/>
          <w:color w:val="auto"/>
          <w:spacing w:val="-1"/>
          <w:sz w:val="21"/>
          <w:szCs w:val="21"/>
          <w:highlight w:val="none"/>
          <w:lang w:eastAsia="zh-CN"/>
        </w:rPr>
        <w:t>（1）部署流程标准化：须提供标准化的自动化部署脚本或使用成熟的部署工具，确保在采购人指定的生产与测试环境中，能够快速、一致地完成平台软件的安装与初始化。</w:t>
      </w:r>
      <w:bookmarkEnd w:id="175"/>
    </w:p>
    <w:p w14:paraId="0F148BA8">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6" w:name="_Toc7874"/>
      <w:r>
        <w:rPr>
          <w:rFonts w:hint="eastAsia" w:asciiTheme="minorEastAsia" w:hAnsiTheme="minorEastAsia" w:eastAsiaTheme="minorEastAsia" w:cstheme="minorEastAsia"/>
          <w:b w:val="0"/>
          <w:bCs w:val="0"/>
          <w:color w:val="auto"/>
          <w:spacing w:val="-1"/>
          <w:sz w:val="21"/>
          <w:szCs w:val="21"/>
          <w:highlight w:val="none"/>
          <w:lang w:eastAsia="zh-CN"/>
        </w:rPr>
        <w:t>（2）配置版本化管理：所有与采购人环境相关的部署配置文件、参数设置、安全策略规则，必须纳入版本控制系统（如Git）进行管理，确保任何配置的变更可追溯、可回滚；</w:t>
      </w:r>
      <w:bookmarkEnd w:id="176"/>
    </w:p>
    <w:p w14:paraId="2731A7D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7" w:name="_Toc23543"/>
      <w:r>
        <w:rPr>
          <w:rFonts w:hint="eastAsia" w:asciiTheme="minorEastAsia" w:hAnsiTheme="minorEastAsia" w:eastAsiaTheme="minorEastAsia" w:cstheme="minorEastAsia"/>
          <w:b w:val="0"/>
          <w:bCs w:val="0"/>
          <w:color w:val="auto"/>
          <w:spacing w:val="-1"/>
          <w:sz w:val="21"/>
          <w:szCs w:val="21"/>
          <w:highlight w:val="none"/>
          <w:lang w:eastAsia="zh-CN"/>
        </w:rPr>
        <w:t>（3）环境差异管理：须明确识别并管理不同环境（开发、测试、生产）间的配置差异，提供详细的配置清单和差异说明文档。</w:t>
      </w:r>
      <w:bookmarkEnd w:id="177"/>
    </w:p>
    <w:p w14:paraId="4B8D0E4E">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8" w:name="_Toc21005"/>
      <w:r>
        <w:rPr>
          <w:rFonts w:hint="eastAsia" w:asciiTheme="minorEastAsia" w:hAnsiTheme="minorEastAsia" w:eastAsiaTheme="minorEastAsia" w:cstheme="minorEastAsia"/>
          <w:b w:val="0"/>
          <w:bCs w:val="0"/>
          <w:color w:val="auto"/>
          <w:spacing w:val="-1"/>
          <w:sz w:val="21"/>
          <w:szCs w:val="21"/>
          <w:highlight w:val="none"/>
          <w:lang w:eastAsia="zh-CN"/>
        </w:rPr>
        <w:t>2.产品集成与运维规范</w:t>
      </w:r>
      <w:bookmarkEnd w:id="178"/>
    </w:p>
    <w:p w14:paraId="75E4AF04">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79" w:name="_Toc4694"/>
      <w:r>
        <w:rPr>
          <w:rFonts w:hint="eastAsia" w:asciiTheme="minorEastAsia" w:hAnsiTheme="minorEastAsia" w:eastAsiaTheme="minorEastAsia" w:cstheme="minorEastAsia"/>
          <w:b w:val="0"/>
          <w:bCs w:val="0"/>
          <w:color w:val="auto"/>
          <w:spacing w:val="-1"/>
          <w:sz w:val="21"/>
          <w:szCs w:val="21"/>
          <w:highlight w:val="none"/>
          <w:lang w:eastAsia="zh-CN"/>
        </w:rPr>
        <w:t>（1）API与集成规范：软件产品提供的所有API接口（尤其是OpenAI兼容接口）必须遵循RESTful设计原则，并提供完整、准确的OpenAPI 3.0规范文档。与</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现有系统的集成方案，须通过</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技术评审。</w:t>
      </w:r>
      <w:bookmarkEnd w:id="179"/>
    </w:p>
    <w:p w14:paraId="4497005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0" w:name="_Toc9931"/>
      <w:r>
        <w:rPr>
          <w:rFonts w:hint="eastAsia" w:asciiTheme="minorEastAsia" w:hAnsiTheme="minorEastAsia" w:eastAsiaTheme="minorEastAsia" w:cstheme="minorEastAsia"/>
          <w:b w:val="0"/>
          <w:bCs w:val="0"/>
          <w:color w:val="auto"/>
          <w:spacing w:val="-1"/>
          <w:sz w:val="21"/>
          <w:szCs w:val="21"/>
          <w:highlight w:val="none"/>
          <w:lang w:eastAsia="zh-CN"/>
        </w:rPr>
        <w:t>（2）安全配置基线：须遵循金融行业安全规范及</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安全基线要求，完成平台软件的安全加固配置，包括但不限于：身份认证、权限最小化、通信加密、日志审计等；</w:t>
      </w:r>
      <w:bookmarkEnd w:id="180"/>
    </w:p>
    <w:p w14:paraId="039397E3">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1" w:name="_Toc29354"/>
      <w:r>
        <w:rPr>
          <w:rFonts w:hint="eastAsia" w:asciiTheme="minorEastAsia" w:hAnsiTheme="minorEastAsia" w:eastAsiaTheme="minorEastAsia" w:cstheme="minorEastAsia"/>
          <w:b w:val="0"/>
          <w:bCs w:val="0"/>
          <w:color w:val="auto"/>
          <w:spacing w:val="-1"/>
          <w:sz w:val="21"/>
          <w:szCs w:val="21"/>
          <w:highlight w:val="none"/>
          <w:lang w:eastAsia="zh-CN"/>
        </w:rPr>
        <w:t>（3）监控与日志规范：须确保平台软件能无缝接入</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统一的监控告警与日志分析平台。提供详尽的监控指标清单（如服务状态、资源使用率、API请求成功率、延迟等）及日志格式说明，确保运维可视性。</w:t>
      </w:r>
      <w:bookmarkEnd w:id="181"/>
    </w:p>
    <w:p w14:paraId="6EB87DF7">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2" w:name="_Toc6082"/>
      <w:r>
        <w:rPr>
          <w:rFonts w:hint="eastAsia" w:asciiTheme="minorEastAsia" w:hAnsiTheme="minorEastAsia" w:eastAsiaTheme="minorEastAsia" w:cstheme="minorEastAsia"/>
          <w:b w:val="0"/>
          <w:bCs w:val="0"/>
          <w:color w:val="auto"/>
          <w:spacing w:val="-1"/>
          <w:sz w:val="21"/>
          <w:szCs w:val="21"/>
          <w:highlight w:val="none"/>
          <w:lang w:eastAsia="zh-CN"/>
        </w:rPr>
        <w:t>3.国产化环境支持与交付规范</w:t>
      </w:r>
      <w:bookmarkEnd w:id="182"/>
    </w:p>
    <w:p w14:paraId="530AD3A5">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3" w:name="_Toc24843"/>
      <w:r>
        <w:rPr>
          <w:rFonts w:hint="eastAsia" w:asciiTheme="minorEastAsia" w:hAnsiTheme="minorEastAsia" w:eastAsiaTheme="minorEastAsia" w:cstheme="minorEastAsia"/>
          <w:b w:val="0"/>
          <w:bCs w:val="0"/>
          <w:color w:val="auto"/>
          <w:spacing w:val="-1"/>
          <w:sz w:val="21"/>
          <w:szCs w:val="21"/>
          <w:highlight w:val="none"/>
          <w:lang w:eastAsia="zh-CN"/>
        </w:rPr>
        <w:t>（1）全栈兼容性承诺：供应商须承诺，所提供的软件产品及部署服务，完全支持</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“国产化技术要求”中明确的硬件（海光、鲲鹏）、操作系统（统信UOS）、数据库（OceanBase等）及中间件环境。</w:t>
      </w:r>
      <w:bookmarkEnd w:id="183"/>
    </w:p>
    <w:p w14:paraId="3DE21781">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4" w:name="_Toc9069"/>
      <w:r>
        <w:rPr>
          <w:rFonts w:hint="eastAsia" w:asciiTheme="minorEastAsia" w:hAnsiTheme="minorEastAsia" w:eastAsiaTheme="minorEastAsia" w:cstheme="minorEastAsia"/>
          <w:b w:val="0"/>
          <w:bCs w:val="0"/>
          <w:color w:val="auto"/>
          <w:spacing w:val="-1"/>
          <w:sz w:val="21"/>
          <w:szCs w:val="21"/>
          <w:highlight w:val="none"/>
          <w:lang w:eastAsia="zh-CN"/>
        </w:rPr>
        <w:t>（2）标准化交付物：最终交付必须包括：可运行的软件系统；全套技术文档：《部署架构图》、《安装部署手册》、《系统管理员手册》、《API接口文档》、《运维手册》。</w:t>
      </w:r>
      <w:bookmarkEnd w:id="184"/>
    </w:p>
    <w:p w14:paraId="5A5ABB2C">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5" w:name="_Toc27075"/>
      <w:r>
        <w:rPr>
          <w:rFonts w:hint="eastAsia" w:asciiTheme="minorEastAsia" w:hAnsiTheme="minorEastAsia" w:eastAsiaTheme="minorEastAsia" w:cstheme="minorEastAsia"/>
          <w:b w:val="0"/>
          <w:bCs w:val="0"/>
          <w:color w:val="auto"/>
          <w:spacing w:val="-1"/>
          <w:sz w:val="21"/>
          <w:szCs w:val="21"/>
          <w:highlight w:val="none"/>
          <w:lang w:eastAsia="zh-CN"/>
        </w:rPr>
        <w:t>4.知识产权与持续维护承诺</w:t>
      </w:r>
      <w:bookmarkEnd w:id="185"/>
    </w:p>
    <w:p w14:paraId="52258CD5">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6" w:name="_Toc30143"/>
      <w:r>
        <w:rPr>
          <w:rFonts w:hint="eastAsia" w:asciiTheme="minorEastAsia" w:hAnsiTheme="minorEastAsia" w:eastAsiaTheme="minorEastAsia" w:cstheme="minorEastAsia"/>
          <w:b w:val="0"/>
          <w:bCs w:val="0"/>
          <w:color w:val="auto"/>
          <w:spacing w:val="-1"/>
          <w:sz w:val="21"/>
          <w:szCs w:val="21"/>
          <w:highlight w:val="none"/>
          <w:lang w:eastAsia="zh-CN"/>
        </w:rPr>
        <w:t>（1）供应商须保证所提供的软件产品及其部署服务，不侵犯任何第三方的知识产权。</w:t>
      </w:r>
      <w:bookmarkEnd w:id="186"/>
    </w:p>
    <w:p w14:paraId="3C8B4B9A">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7" w:name="_Toc24193"/>
      <w:r>
        <w:rPr>
          <w:rFonts w:hint="eastAsia" w:asciiTheme="minorEastAsia" w:hAnsiTheme="minorEastAsia" w:eastAsiaTheme="minorEastAsia" w:cstheme="minorEastAsia"/>
          <w:b w:val="0"/>
          <w:bCs w:val="0"/>
          <w:color w:val="auto"/>
          <w:spacing w:val="-1"/>
          <w:sz w:val="21"/>
          <w:szCs w:val="21"/>
          <w:highlight w:val="none"/>
          <w:lang w:eastAsia="zh-CN"/>
        </w:rPr>
        <w:t>（2）在合同约定的服务与维保期内，供应商须承诺对软件产品本身及其在</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环境中的运行，提供持续的技术支持、漏洞修复与必要的适应性更新。</w:t>
      </w:r>
      <w:bookmarkEnd w:id="187"/>
    </w:p>
    <w:p w14:paraId="05E1AD7E">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8" w:name="_Toc16654"/>
      <w:r>
        <w:rPr>
          <w:rFonts w:hint="eastAsia" w:asciiTheme="minorEastAsia" w:hAnsiTheme="minorEastAsia" w:eastAsiaTheme="minorEastAsia" w:cstheme="minorEastAsia"/>
          <w:b w:val="0"/>
          <w:bCs w:val="0"/>
          <w:color w:val="auto"/>
          <w:spacing w:val="-1"/>
          <w:sz w:val="21"/>
          <w:szCs w:val="21"/>
          <w:highlight w:val="none"/>
          <w:lang w:eastAsia="zh-CN"/>
        </w:rPr>
        <w:t>5.国产化技术要求</w:t>
      </w:r>
      <w:bookmarkEnd w:id="188"/>
    </w:p>
    <w:p w14:paraId="25F4BDB6">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89" w:name="_Toc14874"/>
      <w:r>
        <w:rPr>
          <w:rFonts w:hint="eastAsia" w:asciiTheme="minorEastAsia" w:hAnsiTheme="minorEastAsia" w:eastAsiaTheme="minorEastAsia" w:cstheme="minorEastAsia"/>
          <w:b w:val="0"/>
          <w:bCs w:val="0"/>
          <w:color w:val="auto"/>
          <w:spacing w:val="-1"/>
          <w:sz w:val="21"/>
          <w:szCs w:val="21"/>
          <w:highlight w:val="none"/>
          <w:lang w:eastAsia="zh-CN"/>
        </w:rPr>
        <w:t>涉及系统环境部署的，须服从采购人架构管理要求，支持全栈国产化环境搭建。服务器硬件环境须支持但不限于X86架构的海光芯片、ARM架构的鲲鹏芯片，操作系统须支持但不限于统信UOS服务器版，数据库须支持但不限于OceanBase、vastbase，中间件须支持但不限于宝兰德。涉及客户端软件安装的，操作系统需支持但不限于统信UOS、微软Windows。</w:t>
      </w:r>
      <w:bookmarkEnd w:id="189"/>
    </w:p>
    <w:p w14:paraId="1DBA4851">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0" w:name="_Toc18252"/>
      <w:r>
        <w:rPr>
          <w:rFonts w:hint="eastAsia" w:asciiTheme="minorEastAsia" w:hAnsiTheme="minorEastAsia" w:eastAsiaTheme="minorEastAsia" w:cstheme="minorEastAsia"/>
          <w:b w:val="0"/>
          <w:bCs w:val="0"/>
          <w:color w:val="auto"/>
          <w:spacing w:val="-1"/>
          <w:sz w:val="21"/>
          <w:szCs w:val="21"/>
          <w:highlight w:val="none"/>
          <w:lang w:eastAsia="zh-CN"/>
        </w:rPr>
        <w:t>6.售后服务</w:t>
      </w:r>
      <w:bookmarkEnd w:id="190"/>
    </w:p>
    <w:p w14:paraId="395808F7">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1" w:name="_Toc26471"/>
      <w:r>
        <w:rPr>
          <w:rFonts w:hint="eastAsia" w:asciiTheme="minorEastAsia" w:hAnsiTheme="minorEastAsia" w:eastAsiaTheme="minorEastAsia" w:cstheme="minorEastAsia"/>
          <w:b w:val="0"/>
          <w:bCs w:val="0"/>
          <w:color w:val="auto"/>
          <w:spacing w:val="-1"/>
          <w:sz w:val="21"/>
          <w:szCs w:val="21"/>
          <w:highlight w:val="none"/>
          <w:lang w:eastAsia="zh-CN"/>
        </w:rPr>
        <w:t>（1）提供至少1年的免费维保服务。免费维保服务期从完成竣工验收之日起开始计算。</w:t>
      </w:r>
      <w:bookmarkEnd w:id="191"/>
    </w:p>
    <w:p w14:paraId="14CFCAAF">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2" w:name="_Toc24045"/>
      <w:r>
        <w:rPr>
          <w:rFonts w:hint="eastAsia" w:asciiTheme="minorEastAsia" w:hAnsiTheme="minorEastAsia" w:eastAsiaTheme="minorEastAsia" w:cstheme="minorEastAsia"/>
          <w:b w:val="0"/>
          <w:bCs w:val="0"/>
          <w:color w:val="auto"/>
          <w:spacing w:val="-1"/>
          <w:sz w:val="21"/>
          <w:szCs w:val="21"/>
          <w:highlight w:val="none"/>
          <w:lang w:eastAsia="zh-CN"/>
        </w:rPr>
        <w:t>（2）提供必要的技术指导和培训，保证</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能够正确、安全、有效地使用应用管理平台。</w:t>
      </w:r>
      <w:bookmarkEnd w:id="192"/>
    </w:p>
    <w:p w14:paraId="78B3189D">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3" w:name="_Toc11269"/>
      <w:r>
        <w:rPr>
          <w:rFonts w:hint="eastAsia" w:asciiTheme="minorEastAsia" w:hAnsiTheme="minorEastAsia" w:eastAsiaTheme="minorEastAsia" w:cstheme="minorEastAsia"/>
          <w:b w:val="0"/>
          <w:bCs w:val="0"/>
          <w:color w:val="auto"/>
          <w:spacing w:val="-1"/>
          <w:sz w:val="21"/>
          <w:szCs w:val="21"/>
          <w:highlight w:val="none"/>
          <w:lang w:eastAsia="zh-CN"/>
        </w:rPr>
        <w:t>（3）免费维保期满后因</w:t>
      </w:r>
      <w:r>
        <w:rPr>
          <w:rFonts w:hint="eastAsia" w:asciiTheme="minorEastAsia" w:hAnsiTheme="minorEastAsia" w:eastAsiaTheme="minorEastAsia" w:cstheme="minorEastAsia"/>
          <w:b w:val="0"/>
          <w:bCs w:val="0"/>
          <w:color w:val="auto"/>
          <w:spacing w:val="-1"/>
          <w:sz w:val="21"/>
          <w:szCs w:val="21"/>
          <w:highlight w:val="none"/>
          <w:lang w:val="en-US" w:eastAsia="zh-CN"/>
        </w:rPr>
        <w:t>供应商</w:t>
      </w:r>
      <w:r>
        <w:rPr>
          <w:rFonts w:hint="eastAsia" w:asciiTheme="minorEastAsia" w:hAnsiTheme="minorEastAsia" w:eastAsiaTheme="minorEastAsia" w:cstheme="minorEastAsia"/>
          <w:b w:val="0"/>
          <w:bCs w:val="0"/>
          <w:color w:val="auto"/>
          <w:spacing w:val="-1"/>
          <w:sz w:val="21"/>
          <w:szCs w:val="21"/>
          <w:highlight w:val="none"/>
          <w:lang w:eastAsia="zh-CN"/>
        </w:rPr>
        <w:t>提供的系统本身的漏洞或缺陷造成各种故障，由</w:t>
      </w:r>
      <w:r>
        <w:rPr>
          <w:rFonts w:hint="eastAsia" w:asciiTheme="minorEastAsia" w:hAnsiTheme="minorEastAsia" w:eastAsiaTheme="minorEastAsia" w:cstheme="minorEastAsia"/>
          <w:b w:val="0"/>
          <w:bCs w:val="0"/>
          <w:color w:val="auto"/>
          <w:spacing w:val="-1"/>
          <w:sz w:val="21"/>
          <w:szCs w:val="21"/>
          <w:highlight w:val="none"/>
          <w:lang w:val="en-US" w:eastAsia="zh-CN"/>
        </w:rPr>
        <w:t>供应商</w:t>
      </w:r>
      <w:r>
        <w:rPr>
          <w:rFonts w:hint="eastAsia" w:asciiTheme="minorEastAsia" w:hAnsiTheme="minorEastAsia" w:eastAsiaTheme="minorEastAsia" w:cstheme="minorEastAsia"/>
          <w:b w:val="0"/>
          <w:bCs w:val="0"/>
          <w:color w:val="auto"/>
          <w:spacing w:val="-1"/>
          <w:sz w:val="21"/>
          <w:szCs w:val="21"/>
          <w:highlight w:val="none"/>
          <w:lang w:eastAsia="zh-CN"/>
        </w:rPr>
        <w:t>免费提供技术支持服务。免费维保期满后重复出现免费维保期内出现过的故障，仍属免费服务范围</w:t>
      </w:r>
      <w:bookmarkEnd w:id="193"/>
    </w:p>
    <w:p w14:paraId="0A6A8474">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4" w:name="_Toc18997"/>
      <w:r>
        <w:rPr>
          <w:rFonts w:hint="eastAsia" w:asciiTheme="minorEastAsia" w:hAnsiTheme="minorEastAsia" w:eastAsiaTheme="minorEastAsia" w:cstheme="minorEastAsia"/>
          <w:b w:val="0"/>
          <w:bCs w:val="0"/>
          <w:color w:val="auto"/>
          <w:spacing w:val="-1"/>
          <w:sz w:val="21"/>
          <w:szCs w:val="21"/>
          <w:highlight w:val="none"/>
          <w:lang w:val="en-US" w:eastAsia="zh-CN"/>
        </w:rPr>
        <w:t>二</w:t>
      </w:r>
      <w:r>
        <w:rPr>
          <w:rFonts w:hint="eastAsia" w:asciiTheme="minorEastAsia" w:hAnsiTheme="minorEastAsia" w:eastAsiaTheme="minorEastAsia" w:cstheme="minorEastAsia"/>
          <w:b w:val="0"/>
          <w:bCs w:val="0"/>
          <w:color w:val="auto"/>
          <w:spacing w:val="-1"/>
          <w:sz w:val="21"/>
          <w:szCs w:val="21"/>
          <w:highlight w:val="none"/>
          <w:lang w:eastAsia="zh-CN"/>
        </w:rPr>
        <w:t>、服务地点、服务期限</w:t>
      </w:r>
      <w:bookmarkEnd w:id="194"/>
    </w:p>
    <w:p w14:paraId="4A41C81F">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5" w:name="_Toc15858"/>
      <w:r>
        <w:rPr>
          <w:rFonts w:hint="eastAsia" w:asciiTheme="minorEastAsia" w:hAnsiTheme="minorEastAsia" w:eastAsiaTheme="minorEastAsia" w:cstheme="minorEastAsia"/>
          <w:b w:val="0"/>
          <w:bCs w:val="0"/>
          <w:color w:val="auto"/>
          <w:spacing w:val="-1"/>
          <w:sz w:val="21"/>
          <w:szCs w:val="21"/>
          <w:highlight w:val="none"/>
          <w:lang w:eastAsia="zh-CN"/>
        </w:rPr>
        <w:t>服务地点：南宁良庆区凯旋路15号桂林银行大厦</w:t>
      </w:r>
      <w:bookmarkEnd w:id="195"/>
    </w:p>
    <w:p w14:paraId="7B5561DA">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6" w:name="_Toc192"/>
      <w:r>
        <w:rPr>
          <w:rFonts w:hint="eastAsia" w:asciiTheme="minorEastAsia" w:hAnsiTheme="minorEastAsia" w:eastAsiaTheme="minorEastAsia" w:cstheme="minorEastAsia"/>
          <w:b w:val="0"/>
          <w:bCs w:val="0"/>
          <w:color w:val="auto"/>
          <w:spacing w:val="-1"/>
          <w:sz w:val="21"/>
          <w:szCs w:val="21"/>
          <w:highlight w:val="none"/>
          <w:lang w:eastAsia="zh-CN"/>
        </w:rPr>
        <w:t>服务期限：自合同签订之日起6个月</w:t>
      </w:r>
      <w:bookmarkEnd w:id="196"/>
    </w:p>
    <w:p w14:paraId="5A29000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7" w:name="_Toc880"/>
      <w:r>
        <w:rPr>
          <w:rFonts w:hint="eastAsia" w:asciiTheme="minorEastAsia" w:hAnsiTheme="minorEastAsia" w:eastAsiaTheme="minorEastAsia" w:cstheme="minorEastAsia"/>
          <w:b w:val="0"/>
          <w:bCs w:val="0"/>
          <w:color w:val="auto"/>
          <w:spacing w:val="-1"/>
          <w:sz w:val="21"/>
          <w:szCs w:val="21"/>
          <w:highlight w:val="none"/>
          <w:lang w:val="en-US" w:eastAsia="zh-CN"/>
        </w:rPr>
        <w:t>三、</w:t>
      </w:r>
      <w:r>
        <w:rPr>
          <w:rFonts w:hint="eastAsia" w:asciiTheme="minorEastAsia" w:hAnsiTheme="minorEastAsia" w:eastAsiaTheme="minorEastAsia" w:cstheme="minorEastAsia"/>
          <w:b w:val="0"/>
          <w:bCs w:val="0"/>
          <w:color w:val="auto"/>
          <w:spacing w:val="-1"/>
          <w:sz w:val="21"/>
          <w:szCs w:val="21"/>
          <w:highlight w:val="none"/>
          <w:lang w:eastAsia="zh-CN"/>
        </w:rPr>
        <w:t>验收标准</w:t>
      </w:r>
      <w:bookmarkEnd w:id="197"/>
    </w:p>
    <w:p w14:paraId="2FAC7AE9">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8" w:name="_Toc27269"/>
      <w:r>
        <w:rPr>
          <w:rFonts w:hint="eastAsia" w:asciiTheme="minorEastAsia" w:hAnsiTheme="minorEastAsia" w:eastAsiaTheme="minorEastAsia" w:cstheme="minorEastAsia"/>
          <w:b w:val="0"/>
          <w:bCs w:val="0"/>
          <w:color w:val="auto"/>
          <w:spacing w:val="-1"/>
          <w:sz w:val="21"/>
          <w:szCs w:val="21"/>
          <w:highlight w:val="none"/>
          <w:lang w:eastAsia="zh-CN"/>
        </w:rPr>
        <w:t>本项目验收将以合同、本项目需求文档及双方确认的技术方案为依据，对“可信算力节点管理平台”与“可信应用节点管理平台”两大软件产品的部署成果进行综合性</w:t>
      </w:r>
      <w:r>
        <w:rPr>
          <w:rFonts w:hint="eastAsia" w:asciiTheme="minorEastAsia" w:hAnsiTheme="minorEastAsia" w:eastAsiaTheme="minorEastAsia" w:cstheme="minorEastAsia"/>
          <w:b w:val="0"/>
          <w:bCs w:val="0"/>
          <w:color w:val="auto"/>
          <w:spacing w:val="-1"/>
          <w:sz w:val="21"/>
          <w:szCs w:val="21"/>
          <w:highlight w:val="none"/>
          <w:lang w:val="en-US" w:eastAsia="zh-CN"/>
        </w:rPr>
        <w:t>整体</w:t>
      </w:r>
      <w:r>
        <w:rPr>
          <w:rFonts w:hint="eastAsia" w:asciiTheme="minorEastAsia" w:hAnsiTheme="minorEastAsia" w:eastAsiaTheme="minorEastAsia" w:cstheme="minorEastAsia"/>
          <w:b w:val="0"/>
          <w:bCs w:val="0"/>
          <w:color w:val="auto"/>
          <w:spacing w:val="-1"/>
          <w:sz w:val="21"/>
          <w:szCs w:val="21"/>
          <w:highlight w:val="none"/>
          <w:lang w:eastAsia="zh-CN"/>
        </w:rPr>
        <w:t>验收。验收标准如下：</w:t>
      </w:r>
      <w:bookmarkEnd w:id="198"/>
    </w:p>
    <w:p w14:paraId="101DD9D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199" w:name="_Toc13963"/>
      <w:r>
        <w:rPr>
          <w:rFonts w:hint="eastAsia" w:asciiTheme="minorEastAsia" w:hAnsiTheme="minorEastAsia" w:eastAsiaTheme="minorEastAsia" w:cstheme="minorEastAsia"/>
          <w:b w:val="0"/>
          <w:bCs w:val="0"/>
          <w:color w:val="auto"/>
          <w:spacing w:val="-1"/>
          <w:sz w:val="21"/>
          <w:szCs w:val="21"/>
          <w:highlight w:val="none"/>
          <w:lang w:eastAsia="zh-CN"/>
        </w:rPr>
        <w:t>（一）平台功能与配置验收</w:t>
      </w:r>
      <w:bookmarkEnd w:id="199"/>
    </w:p>
    <w:p w14:paraId="08C17805">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0" w:name="_Toc8860"/>
      <w:r>
        <w:rPr>
          <w:rFonts w:hint="eastAsia" w:asciiTheme="minorEastAsia" w:hAnsiTheme="minorEastAsia" w:eastAsiaTheme="minorEastAsia" w:cstheme="minorEastAsia"/>
          <w:b w:val="0"/>
          <w:bCs w:val="0"/>
          <w:color w:val="auto"/>
          <w:spacing w:val="-1"/>
          <w:sz w:val="21"/>
          <w:szCs w:val="21"/>
          <w:highlight w:val="none"/>
          <w:lang w:eastAsia="zh-CN"/>
        </w:rPr>
        <w:t>核心功能就绪：两大管理平台的所有基础功能模块（包括但不限于节点认证、GPU、vGPU管理、模型部署与生命周期管理、资源计量、监控上报、OpenAI接口代理、模型同步、应用统计等）应完成部署与基础配置，并可通过管理界面或API正常访问与操作。</w:t>
      </w:r>
      <w:bookmarkEnd w:id="200"/>
    </w:p>
    <w:p w14:paraId="38B39B94">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1" w:name="_Toc12848"/>
      <w:r>
        <w:rPr>
          <w:rFonts w:hint="eastAsia" w:asciiTheme="minorEastAsia" w:hAnsiTheme="minorEastAsia" w:eastAsiaTheme="minorEastAsia" w:cstheme="minorEastAsia"/>
          <w:b w:val="0"/>
          <w:bCs w:val="0"/>
          <w:color w:val="auto"/>
          <w:spacing w:val="-1"/>
          <w:sz w:val="21"/>
          <w:szCs w:val="21"/>
          <w:highlight w:val="none"/>
          <w:lang w:eastAsia="zh-CN"/>
        </w:rPr>
        <w:t>集成连通性：平台需成功完成与CAFAIN共享网络“超节点”的注册、认证及心跳通信；完成与</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Theme="minorEastAsia" w:hAnsiTheme="minorEastAsia" w:eastAsiaTheme="minorEastAsia" w:cstheme="minorEastAsia"/>
          <w:b w:val="0"/>
          <w:bCs w:val="0"/>
          <w:color w:val="auto"/>
          <w:spacing w:val="-1"/>
          <w:sz w:val="21"/>
          <w:szCs w:val="21"/>
          <w:highlight w:val="none"/>
          <w:lang w:eastAsia="zh-CN"/>
        </w:rPr>
        <w:t>指定内部网络环境及安全策略的适配。</w:t>
      </w:r>
      <w:bookmarkEnd w:id="201"/>
    </w:p>
    <w:p w14:paraId="730698F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2" w:name="_Toc31633"/>
      <w:r>
        <w:rPr>
          <w:rFonts w:hint="eastAsia" w:asciiTheme="minorEastAsia" w:hAnsiTheme="minorEastAsia" w:eastAsiaTheme="minorEastAsia" w:cstheme="minorEastAsia"/>
          <w:b w:val="0"/>
          <w:bCs w:val="0"/>
          <w:color w:val="auto"/>
          <w:spacing w:val="-1"/>
          <w:sz w:val="21"/>
          <w:szCs w:val="21"/>
          <w:highlight w:val="none"/>
          <w:lang w:eastAsia="zh-CN"/>
        </w:rPr>
        <w:t>国产化环境适配：平台在采购人指定的国产化软硬件环境（如海光、鲲鹏芯片、统信UOS、OceanBase等）中，应完成部署且基本功能运行正常，满足兼容性要求。</w:t>
      </w:r>
      <w:bookmarkEnd w:id="202"/>
    </w:p>
    <w:p w14:paraId="615E8E73">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3" w:name="_Toc7365"/>
      <w:r>
        <w:rPr>
          <w:rFonts w:hint="eastAsia" w:asciiTheme="minorEastAsia" w:hAnsiTheme="minorEastAsia" w:eastAsiaTheme="minorEastAsia" w:cstheme="minorEastAsia"/>
          <w:b w:val="0"/>
          <w:bCs w:val="0"/>
          <w:color w:val="auto"/>
          <w:spacing w:val="-1"/>
          <w:sz w:val="21"/>
          <w:szCs w:val="21"/>
          <w:highlight w:val="none"/>
          <w:lang w:eastAsia="zh-CN"/>
        </w:rPr>
        <w:t>（二）平台性能与稳定性验收</w:t>
      </w:r>
      <w:bookmarkEnd w:id="203"/>
    </w:p>
    <w:p w14:paraId="298B9C3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4" w:name="_Toc20500"/>
      <w:r>
        <w:rPr>
          <w:rFonts w:hint="eastAsia" w:asciiTheme="minorEastAsia" w:hAnsiTheme="minorEastAsia" w:eastAsiaTheme="minorEastAsia" w:cstheme="minorEastAsia"/>
          <w:b w:val="0"/>
          <w:bCs w:val="0"/>
          <w:color w:val="auto"/>
          <w:spacing w:val="-1"/>
          <w:sz w:val="21"/>
          <w:szCs w:val="21"/>
          <w:highlight w:val="none"/>
          <w:lang w:eastAsia="zh-CN"/>
        </w:rPr>
        <w:t>基础性能：在约定的测试环境下，平台管理界面主要操作响应时间应符合常规体验要求（关键操作响应时间≤3秒）。</w:t>
      </w:r>
      <w:bookmarkEnd w:id="204"/>
    </w:p>
    <w:p w14:paraId="5DC5083F">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5" w:name="_Toc1172"/>
      <w:r>
        <w:rPr>
          <w:rFonts w:hint="eastAsia" w:asciiTheme="minorEastAsia" w:hAnsiTheme="minorEastAsia" w:eastAsiaTheme="minorEastAsia" w:cstheme="minorEastAsia"/>
          <w:b w:val="0"/>
          <w:bCs w:val="0"/>
          <w:color w:val="auto"/>
          <w:spacing w:val="-1"/>
          <w:sz w:val="21"/>
          <w:szCs w:val="21"/>
          <w:highlight w:val="none"/>
          <w:lang w:eastAsia="zh-CN"/>
        </w:rPr>
        <w:t>服务可用性：核心API服务（如OpenAI兼容接口）应具备高可用性，在验收测试期间未出现非计划的服务中断。</w:t>
      </w:r>
      <w:bookmarkEnd w:id="205"/>
    </w:p>
    <w:p w14:paraId="2CBFA4B1">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6" w:name="_Toc568"/>
      <w:r>
        <w:rPr>
          <w:rFonts w:hint="eastAsia" w:asciiTheme="minorEastAsia" w:hAnsiTheme="minorEastAsia" w:eastAsiaTheme="minorEastAsia" w:cstheme="minorEastAsia"/>
          <w:b w:val="0"/>
          <w:bCs w:val="0"/>
          <w:color w:val="auto"/>
          <w:spacing w:val="-1"/>
          <w:sz w:val="21"/>
          <w:szCs w:val="21"/>
          <w:highlight w:val="none"/>
          <w:lang w:eastAsia="zh-CN"/>
        </w:rPr>
        <w:t>资源监控有效性：平台的资源计量、监控数据采集与上报功能应运行准确，数据完整。</w:t>
      </w:r>
      <w:bookmarkEnd w:id="206"/>
    </w:p>
    <w:p w14:paraId="1A951504">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7" w:name="_Toc25745"/>
      <w:r>
        <w:rPr>
          <w:rFonts w:hint="eastAsia" w:asciiTheme="minorEastAsia" w:hAnsiTheme="minorEastAsia" w:eastAsiaTheme="minorEastAsia" w:cstheme="minorEastAsia"/>
          <w:b w:val="0"/>
          <w:bCs w:val="0"/>
          <w:color w:val="auto"/>
          <w:spacing w:val="-1"/>
          <w:sz w:val="21"/>
          <w:szCs w:val="21"/>
          <w:highlight w:val="none"/>
          <w:lang w:eastAsia="zh-CN"/>
        </w:rPr>
        <w:t>（三）交付物与文档验收</w:t>
      </w:r>
      <w:bookmarkEnd w:id="207"/>
    </w:p>
    <w:p w14:paraId="3484B25F">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8" w:name="_Toc26021"/>
      <w:r>
        <w:rPr>
          <w:rFonts w:hint="eastAsia" w:asciiTheme="minorEastAsia" w:hAnsiTheme="minorEastAsia" w:eastAsiaTheme="minorEastAsia" w:cstheme="minorEastAsia"/>
          <w:b w:val="0"/>
          <w:bCs w:val="0"/>
          <w:color w:val="auto"/>
          <w:spacing w:val="-1"/>
          <w:sz w:val="21"/>
          <w:szCs w:val="21"/>
          <w:highlight w:val="none"/>
          <w:lang w:eastAsia="zh-CN"/>
        </w:rPr>
        <w:t>完整交付物：供应商应提供软件产品介质（或下载授权）、全部部署配置文件、已安装部署的环境清单。</w:t>
      </w:r>
      <w:bookmarkEnd w:id="208"/>
    </w:p>
    <w:p w14:paraId="3FDE47D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09" w:name="_Toc31805"/>
      <w:r>
        <w:rPr>
          <w:rFonts w:hint="eastAsia" w:asciiTheme="minorEastAsia" w:hAnsiTheme="minorEastAsia" w:eastAsiaTheme="minorEastAsia" w:cstheme="minorEastAsia"/>
          <w:b w:val="0"/>
          <w:bCs w:val="0"/>
          <w:color w:val="auto"/>
          <w:spacing w:val="-1"/>
          <w:sz w:val="21"/>
          <w:szCs w:val="21"/>
          <w:highlight w:val="none"/>
          <w:lang w:eastAsia="zh-CN"/>
        </w:rPr>
        <w:t>文档完整性：必须交付符合项目要求的全套文档，包括但不限于：《部署安装手册》《系统管理员手册》《API接口文档》《运维监控手册》及《培训教材》。所有文档内容应准确、完整、可操作。</w:t>
      </w:r>
      <w:bookmarkEnd w:id="209"/>
    </w:p>
    <w:p w14:paraId="12B29D1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10" w:name="_Toc29802"/>
      <w:r>
        <w:rPr>
          <w:rFonts w:hint="eastAsia" w:asciiTheme="minorEastAsia" w:hAnsiTheme="minorEastAsia" w:eastAsiaTheme="minorEastAsia" w:cstheme="minorEastAsia"/>
          <w:b w:val="0"/>
          <w:bCs w:val="0"/>
          <w:color w:val="auto"/>
          <w:spacing w:val="-1"/>
          <w:sz w:val="21"/>
          <w:szCs w:val="21"/>
          <w:highlight w:val="none"/>
          <w:lang w:eastAsia="zh-CN"/>
        </w:rPr>
        <w:t>四、付款方式</w:t>
      </w:r>
      <w:bookmarkEnd w:id="210"/>
    </w:p>
    <w:p w14:paraId="47BFCCC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bookmarkStart w:id="211" w:name="_Toc31669"/>
      <w:r>
        <w:rPr>
          <w:rFonts w:hint="eastAsia" w:asciiTheme="minorEastAsia" w:hAnsiTheme="minorEastAsia" w:eastAsiaTheme="minorEastAsia" w:cstheme="minorEastAsia"/>
          <w:b w:val="0"/>
          <w:bCs w:val="0"/>
          <w:color w:val="auto"/>
          <w:spacing w:val="-1"/>
          <w:sz w:val="21"/>
          <w:szCs w:val="21"/>
          <w:highlight w:val="none"/>
          <w:lang w:eastAsia="zh-CN"/>
        </w:rPr>
        <w:t>付款方式以合同签订时双方约定为准。</w:t>
      </w:r>
      <w:bookmarkEnd w:id="211"/>
    </w:p>
    <w:p w14:paraId="49D03B87">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color w:val="auto"/>
          <w:spacing w:val="-1"/>
          <w:sz w:val="21"/>
          <w:szCs w:val="21"/>
          <w:highlight w:val="none"/>
        </w:rPr>
      </w:pPr>
    </w:p>
    <w:p w14:paraId="06731D21">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color w:val="auto"/>
          <w:spacing w:val="-1"/>
          <w:sz w:val="21"/>
          <w:szCs w:val="21"/>
          <w:highlight w:val="none"/>
        </w:rPr>
      </w:pPr>
    </w:p>
    <w:p w14:paraId="6DE99413">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color w:val="auto"/>
          <w:spacing w:val="-1"/>
          <w:highlight w:val="none"/>
        </w:rPr>
      </w:pPr>
      <w:r>
        <w:rPr>
          <w:rFonts w:hint="eastAsia" w:ascii="宋体" w:hAnsi="宋体" w:eastAsia="宋体" w:cs="宋体"/>
          <w:b/>
          <w:bCs/>
          <w:color w:val="auto"/>
          <w:spacing w:val="-1"/>
          <w:sz w:val="21"/>
          <w:szCs w:val="21"/>
          <w:highlight w:val="none"/>
        </w:rPr>
        <w:t>注：</w:t>
      </w:r>
      <w:r>
        <w:rPr>
          <w:rFonts w:hint="eastAsia" w:ascii="宋体" w:hAnsi="宋体" w:eastAsia="宋体" w:cs="宋体"/>
          <w:b/>
          <w:bCs/>
          <w:color w:val="auto"/>
          <w:spacing w:val="-1"/>
          <w:sz w:val="21"/>
          <w:szCs w:val="21"/>
          <w:highlight w:val="none"/>
          <w:lang w:val="en-US" w:eastAsia="zh-CN"/>
        </w:rPr>
        <w:t>本项目采购需求</w:t>
      </w:r>
      <w:r>
        <w:rPr>
          <w:rFonts w:hint="eastAsia" w:ascii="宋体" w:hAnsi="宋体" w:eastAsia="宋体" w:cs="宋体"/>
          <w:b/>
          <w:bCs/>
          <w:color w:val="auto"/>
          <w:spacing w:val="-1"/>
          <w:sz w:val="21"/>
          <w:szCs w:val="21"/>
          <w:highlight w:val="none"/>
        </w:rPr>
        <w:t>中所有条款</w:t>
      </w:r>
      <w:r>
        <w:rPr>
          <w:rFonts w:hint="eastAsia" w:ascii="宋体" w:hAnsi="宋体" w:cs="宋体"/>
          <w:b/>
          <w:bCs/>
          <w:color w:val="auto"/>
          <w:spacing w:val="-1"/>
          <w:sz w:val="21"/>
          <w:szCs w:val="21"/>
          <w:highlight w:val="none"/>
          <w:lang w:val="en-US" w:eastAsia="zh-CN"/>
        </w:rPr>
        <w:t>均为实质性条款</w:t>
      </w:r>
      <w:r>
        <w:rPr>
          <w:rFonts w:hint="eastAsia" w:ascii="宋体" w:hAnsi="宋体" w:eastAsia="宋体" w:cs="宋体"/>
          <w:b/>
          <w:bCs/>
          <w:color w:val="auto"/>
          <w:spacing w:val="-1"/>
          <w:sz w:val="21"/>
          <w:szCs w:val="21"/>
          <w:highlight w:val="none"/>
        </w:rPr>
        <w:t>，不允许负偏离，否则</w:t>
      </w:r>
      <w:r>
        <w:rPr>
          <w:rFonts w:hint="eastAsia" w:ascii="宋体" w:hAnsi="宋体" w:cs="宋体"/>
          <w:b/>
          <w:bCs/>
          <w:color w:val="auto"/>
          <w:spacing w:val="-1"/>
          <w:sz w:val="21"/>
          <w:szCs w:val="21"/>
          <w:highlight w:val="none"/>
          <w:lang w:val="en-US" w:eastAsia="zh-CN"/>
        </w:rPr>
        <w:t>竞标</w:t>
      </w:r>
      <w:r>
        <w:rPr>
          <w:rFonts w:hint="eastAsia" w:ascii="宋体" w:hAnsi="宋体" w:eastAsia="宋体" w:cs="宋体"/>
          <w:b/>
          <w:bCs/>
          <w:color w:val="auto"/>
          <w:spacing w:val="-1"/>
          <w:sz w:val="21"/>
          <w:szCs w:val="21"/>
          <w:highlight w:val="none"/>
        </w:rPr>
        <w:t>将被否决</w:t>
      </w:r>
      <w:r>
        <w:rPr>
          <w:rFonts w:hint="eastAsia" w:ascii="宋体" w:hAnsi="宋体" w:eastAsia="宋体" w:cs="宋体"/>
          <w:b/>
          <w:bCs/>
          <w:color w:val="auto"/>
          <w:spacing w:val="-1"/>
          <w:highlight w:val="none"/>
        </w:rPr>
        <w:t>。</w:t>
      </w:r>
    </w:p>
    <w:p w14:paraId="7E95BCBB">
      <w:pPr>
        <w:pStyle w:val="21"/>
        <w:keepNext w:val="0"/>
        <w:keepLines w:val="0"/>
        <w:pageBreakBefore w:val="0"/>
        <w:widowControl w:val="0"/>
        <w:kinsoku/>
        <w:wordWrap/>
        <w:overflowPunct/>
        <w:topLinePunct w:val="0"/>
        <w:autoSpaceDE/>
        <w:autoSpaceDN/>
        <w:bidi w:val="0"/>
        <w:adjustRightInd/>
        <w:snapToGrid/>
        <w:spacing w:after="0" w:line="400" w:lineRule="exact"/>
        <w:ind w:leftChars="0" w:firstLine="843" w:firstLineChars="400"/>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bCs/>
          <w:color w:val="auto"/>
          <w:sz w:val="21"/>
          <w:szCs w:val="21"/>
          <w:highlight w:val="none"/>
        </w:rPr>
        <w:t>磋商内容：本项目所有内容均可磋商。</w:t>
      </w:r>
    </w:p>
    <w:bookmarkEnd w:id="117"/>
    <w:p w14:paraId="688EB3FB">
      <w:pPr>
        <w:keepNext w:val="0"/>
        <w:keepLines w:val="0"/>
        <w:pageBreakBefore w:val="0"/>
        <w:widowControl w:val="0"/>
        <w:kinsoku/>
        <w:wordWrap/>
        <w:overflowPunct/>
        <w:topLinePunct w:val="0"/>
        <w:autoSpaceDE/>
        <w:autoSpaceDN/>
        <w:bidi w:val="0"/>
        <w:adjustRightInd/>
        <w:snapToGrid/>
        <w:spacing w:line="400" w:lineRule="exact"/>
        <w:ind w:leftChars="0" w:firstLine="420" w:firstLineChars="200"/>
        <w:textAlignment w:val="auto"/>
        <w:rPr>
          <w:rFonts w:hint="eastAsia" w:ascii="宋体" w:hAnsi="宋体" w:eastAsia="宋体" w:cs="宋体"/>
          <w:color w:val="auto"/>
          <w:highlight w:val="none"/>
        </w:rPr>
        <w:sectPr>
          <w:headerReference r:id="rId8" w:type="default"/>
          <w:footerReference r:id="rId9" w:type="default"/>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2EB6E20">
      <w:pPr>
        <w:pStyle w:val="20"/>
        <w:rPr>
          <w:b/>
          <w:bCs/>
          <w:color w:val="auto"/>
          <w:highlight w:val="none"/>
        </w:rPr>
      </w:pPr>
      <w:r>
        <w:rPr>
          <w:b/>
          <w:bCs/>
          <w:color w:val="auto"/>
          <w:highlight w:val="none"/>
        </w:rPr>
        <w:t>履约评价表</w:t>
      </w:r>
    </w:p>
    <w:tbl>
      <w:tblPr>
        <w:tblStyle w:val="42"/>
        <w:tblW w:w="8928" w:type="dxa"/>
        <w:jc w:val="center"/>
        <w:tblLayout w:type="fixed"/>
        <w:tblCellMar>
          <w:top w:w="0" w:type="dxa"/>
          <w:left w:w="108" w:type="dxa"/>
          <w:bottom w:w="0" w:type="dxa"/>
          <w:right w:w="108" w:type="dxa"/>
        </w:tblCellMar>
      </w:tblPr>
      <w:tblGrid>
        <w:gridCol w:w="683"/>
        <w:gridCol w:w="1170"/>
        <w:gridCol w:w="238"/>
        <w:gridCol w:w="857"/>
        <w:gridCol w:w="4918"/>
        <w:gridCol w:w="1062"/>
        <w:tblGridChange w:id="0">
          <w:tblGrid>
            <w:gridCol w:w="683"/>
            <w:gridCol w:w="869"/>
            <w:gridCol w:w="301"/>
            <w:gridCol w:w="238"/>
            <w:gridCol w:w="857"/>
            <w:gridCol w:w="4918"/>
            <w:gridCol w:w="1062"/>
          </w:tblGrid>
        </w:tblGridChange>
      </w:tblGrid>
      <w:tr w14:paraId="51B0E84E">
        <w:tblPrEx>
          <w:tblCellMar>
            <w:top w:w="0" w:type="dxa"/>
            <w:left w:w="108" w:type="dxa"/>
            <w:bottom w:w="0" w:type="dxa"/>
            <w:right w:w="108" w:type="dxa"/>
          </w:tblCellMar>
        </w:tblPrEx>
        <w:trPr>
          <w:trHeight w:val="454" w:hRule="atLeast"/>
          <w:jc w:val="center"/>
        </w:trPr>
        <w:tc>
          <w:tcPr>
            <w:tcW w:w="2091" w:type="dxa"/>
            <w:gridSpan w:val="3"/>
            <w:tcBorders>
              <w:top w:val="single" w:color="000000" w:sz="4" w:space="0"/>
              <w:left w:val="single" w:color="000000" w:sz="4" w:space="0"/>
              <w:bottom w:val="single" w:color="000000" w:sz="4" w:space="0"/>
              <w:right w:val="single" w:color="000000" w:sz="4" w:space="0"/>
            </w:tcBorders>
            <w:noWrap/>
            <w:vAlign w:val="center"/>
          </w:tcPr>
          <w:p w14:paraId="01BDE5E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项目名称</w:t>
            </w:r>
          </w:p>
        </w:tc>
        <w:tc>
          <w:tcPr>
            <w:tcW w:w="6837" w:type="dxa"/>
            <w:gridSpan w:val="3"/>
            <w:tcBorders>
              <w:top w:val="single" w:color="000000" w:sz="4" w:space="0"/>
              <w:left w:val="single" w:color="000000" w:sz="4" w:space="0"/>
              <w:bottom w:val="single" w:color="000000" w:sz="4" w:space="0"/>
              <w:right w:val="single" w:color="000000" w:sz="4" w:space="0"/>
            </w:tcBorders>
            <w:noWrap/>
            <w:vAlign w:val="center"/>
          </w:tcPr>
          <w:p w14:paraId="11407A3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highlight w:val="none"/>
                <w:lang w:val="en-US" w:eastAsia="zh-CN"/>
              </w:rPr>
              <w:t>桂林银行</w:t>
            </w:r>
            <w:r>
              <w:rPr>
                <w:rFonts w:hint="eastAsia" w:ascii="宋体" w:hAnsi="宋体" w:cs="宋体"/>
                <w:color w:val="auto"/>
                <w:highlight w:val="none"/>
              </w:rPr>
              <w:t>中国-东盟金融人工智能服务共享网络节点建设项目</w:t>
            </w:r>
          </w:p>
        </w:tc>
      </w:tr>
      <w:tr w14:paraId="63D42420">
        <w:tblPrEx>
          <w:tblCellMar>
            <w:top w:w="0" w:type="dxa"/>
            <w:left w:w="108" w:type="dxa"/>
            <w:bottom w:w="0" w:type="dxa"/>
            <w:right w:w="108" w:type="dxa"/>
          </w:tblCellMar>
        </w:tblPrEx>
        <w:trPr>
          <w:trHeight w:val="454" w:hRule="atLeast"/>
          <w:jc w:val="center"/>
        </w:trPr>
        <w:tc>
          <w:tcPr>
            <w:tcW w:w="2091" w:type="dxa"/>
            <w:gridSpan w:val="3"/>
            <w:tcBorders>
              <w:top w:val="single" w:color="000000" w:sz="4" w:space="0"/>
              <w:left w:val="single" w:color="000000" w:sz="4" w:space="0"/>
              <w:bottom w:val="single" w:color="000000" w:sz="4" w:space="0"/>
              <w:right w:val="single" w:color="000000" w:sz="4" w:space="0"/>
            </w:tcBorders>
            <w:noWrap/>
            <w:vAlign w:val="center"/>
          </w:tcPr>
          <w:p w14:paraId="5098C66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单位名称</w:t>
            </w:r>
          </w:p>
        </w:tc>
        <w:tc>
          <w:tcPr>
            <w:tcW w:w="6837" w:type="dxa"/>
            <w:gridSpan w:val="3"/>
            <w:tcBorders>
              <w:top w:val="single" w:color="000000" w:sz="4" w:space="0"/>
              <w:left w:val="single" w:color="000000" w:sz="4" w:space="0"/>
              <w:bottom w:val="single" w:color="000000" w:sz="4" w:space="0"/>
              <w:right w:val="single" w:color="000000" w:sz="4" w:space="0"/>
            </w:tcBorders>
            <w:noWrap/>
            <w:vAlign w:val="center"/>
          </w:tcPr>
          <w:p w14:paraId="1EC3229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lang w:val="en-US" w:eastAsia="zh-CN"/>
              </w:rPr>
            </w:pPr>
          </w:p>
        </w:tc>
      </w:tr>
      <w:tr w14:paraId="1C78C2C3">
        <w:tblPrEx>
          <w:tblCellMar>
            <w:top w:w="0" w:type="dxa"/>
            <w:left w:w="108" w:type="dxa"/>
            <w:bottom w:w="0" w:type="dxa"/>
            <w:right w:w="108" w:type="dxa"/>
          </w:tblCellMar>
        </w:tblPrEx>
        <w:trPr>
          <w:trHeight w:val="454" w:hRule="atLeast"/>
          <w:jc w:val="center"/>
        </w:trPr>
        <w:tc>
          <w:tcPr>
            <w:tcW w:w="2091" w:type="dxa"/>
            <w:gridSpan w:val="3"/>
            <w:tcBorders>
              <w:top w:val="single" w:color="000000" w:sz="4" w:space="0"/>
              <w:left w:val="single" w:color="000000" w:sz="4" w:space="0"/>
              <w:bottom w:val="single" w:color="000000" w:sz="4" w:space="0"/>
              <w:right w:val="single" w:color="000000" w:sz="4" w:space="0"/>
            </w:tcBorders>
            <w:noWrap w:val="0"/>
            <w:vAlign w:val="center"/>
          </w:tcPr>
          <w:p w14:paraId="70121C7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评价描述（根据测试人员对规章制度的执行情况、服务期间的工作任务完成情况、服务质量等多方面进行综合评定</w:t>
            </w:r>
            <w:r>
              <w:rPr>
                <w:rStyle w:val="85"/>
                <w:rFonts w:hint="eastAsia" w:ascii="宋体" w:hAnsi="宋体" w:eastAsia="宋体" w:cs="宋体"/>
                <w:color w:val="auto"/>
                <w:sz w:val="21"/>
                <w:szCs w:val="21"/>
                <w:highlight w:val="none"/>
                <w:lang w:bidi="ar"/>
              </w:rPr>
              <w:t>）</w:t>
            </w:r>
          </w:p>
        </w:tc>
        <w:tc>
          <w:tcPr>
            <w:tcW w:w="6837" w:type="dxa"/>
            <w:gridSpan w:val="3"/>
            <w:tcBorders>
              <w:top w:val="single" w:color="000000" w:sz="4" w:space="0"/>
              <w:left w:val="single" w:color="000000" w:sz="4" w:space="0"/>
              <w:bottom w:val="single" w:color="000000" w:sz="4" w:space="0"/>
              <w:right w:val="single" w:color="000000" w:sz="4" w:space="0"/>
            </w:tcBorders>
            <w:noWrap/>
            <w:vAlign w:val="center"/>
          </w:tcPr>
          <w:p w14:paraId="3ED3E8A4">
            <w:pPr>
              <w:keepNext w:val="0"/>
              <w:keepLines w:val="0"/>
              <w:pageBreakBefore w:val="0"/>
              <w:widowControl/>
              <w:kinsoku/>
              <w:wordWrap/>
              <w:overflowPunct/>
              <w:topLinePunct w:val="0"/>
              <w:autoSpaceDE/>
              <w:autoSpaceDN/>
              <w:bidi w:val="0"/>
              <w:adjustRightInd/>
              <w:snapToGrid/>
              <w:spacing w:line="380" w:lineRule="exact"/>
              <w:ind w:firstLine="0" w:firstLineChars="0"/>
              <w:jc w:val="both"/>
              <w:rPr>
                <w:rFonts w:hint="eastAsia" w:ascii="宋体" w:hAnsi="宋体" w:eastAsia="宋体" w:cs="宋体"/>
                <w:color w:val="auto"/>
                <w:sz w:val="21"/>
                <w:szCs w:val="21"/>
                <w:highlight w:val="none"/>
                <w:lang w:val="en-US" w:eastAsia="zh-CN"/>
              </w:rPr>
            </w:pPr>
          </w:p>
        </w:tc>
      </w:tr>
      <w:tr w14:paraId="18D34D90">
        <w:tblPrEx>
          <w:tblCellMar>
            <w:top w:w="0" w:type="dxa"/>
            <w:left w:w="108" w:type="dxa"/>
            <w:bottom w:w="0" w:type="dxa"/>
            <w:right w:w="108" w:type="dxa"/>
          </w:tblCellMar>
        </w:tblPrEx>
        <w:trPr>
          <w:trHeight w:val="454" w:hRule="atLeast"/>
          <w:jc w:val="center"/>
        </w:trPr>
        <w:tc>
          <w:tcPr>
            <w:tcW w:w="2091" w:type="dxa"/>
            <w:gridSpan w:val="3"/>
            <w:tcBorders>
              <w:top w:val="single" w:color="000000" w:sz="4" w:space="0"/>
              <w:left w:val="single" w:color="000000" w:sz="4" w:space="0"/>
              <w:bottom w:val="single" w:color="000000" w:sz="4" w:space="0"/>
              <w:right w:val="single" w:color="000000" w:sz="4" w:space="0"/>
            </w:tcBorders>
            <w:noWrap/>
            <w:vAlign w:val="center"/>
          </w:tcPr>
          <w:p w14:paraId="288B7CFD">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评价结果</w:t>
            </w:r>
          </w:p>
        </w:tc>
        <w:tc>
          <w:tcPr>
            <w:tcW w:w="6837" w:type="dxa"/>
            <w:gridSpan w:val="3"/>
            <w:tcBorders>
              <w:top w:val="single" w:color="000000" w:sz="4" w:space="0"/>
              <w:left w:val="single" w:color="000000" w:sz="4" w:space="0"/>
              <w:bottom w:val="single" w:color="000000" w:sz="4" w:space="0"/>
              <w:right w:val="single" w:color="000000" w:sz="4" w:space="0"/>
            </w:tcBorders>
            <w:noWrap/>
            <w:vAlign w:val="center"/>
          </w:tcPr>
          <w:p w14:paraId="2F2DBB5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r w14:paraId="7312DA3E">
        <w:tblPrEx>
          <w:tblCellMar>
            <w:top w:w="0" w:type="dxa"/>
            <w:left w:w="108" w:type="dxa"/>
            <w:bottom w:w="0" w:type="dxa"/>
            <w:right w:w="108" w:type="dxa"/>
          </w:tblCellMar>
        </w:tblPrEx>
        <w:trPr>
          <w:trHeight w:val="454" w:hRule="atLeast"/>
          <w:jc w:val="center"/>
        </w:trPr>
        <w:tc>
          <w:tcPr>
            <w:tcW w:w="2091" w:type="dxa"/>
            <w:gridSpan w:val="3"/>
            <w:tcBorders>
              <w:top w:val="single" w:color="000000" w:sz="4" w:space="0"/>
              <w:left w:val="single" w:color="000000" w:sz="4" w:space="0"/>
              <w:bottom w:val="single" w:color="000000" w:sz="4" w:space="0"/>
              <w:right w:val="single" w:color="000000" w:sz="4" w:space="0"/>
            </w:tcBorders>
            <w:noWrap/>
            <w:vAlign w:val="center"/>
          </w:tcPr>
          <w:p w14:paraId="3A02B3E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备注</w:t>
            </w:r>
          </w:p>
        </w:tc>
        <w:tc>
          <w:tcPr>
            <w:tcW w:w="6837" w:type="dxa"/>
            <w:gridSpan w:val="3"/>
            <w:tcBorders>
              <w:top w:val="single" w:color="000000" w:sz="4" w:space="0"/>
              <w:left w:val="single" w:color="000000" w:sz="4" w:space="0"/>
              <w:bottom w:val="single" w:color="000000" w:sz="4" w:space="0"/>
              <w:right w:val="single" w:color="000000" w:sz="4" w:space="0"/>
            </w:tcBorders>
            <w:noWrap/>
            <w:vAlign w:val="center"/>
          </w:tcPr>
          <w:p w14:paraId="7B0B611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r w14:paraId="25ACD87B">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512B6C33">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评分档次划分：</w:t>
            </w:r>
          </w:p>
        </w:tc>
      </w:tr>
      <w:tr w14:paraId="354D23A8">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0"/>
            <w:vAlign w:val="center"/>
          </w:tcPr>
          <w:p w14:paraId="6D59F754">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考核标准分优秀（90分及以上）、良好（80分及以上、90以下）、一般（60分及以上、80分以下）、不合格（60分以下）四个等级</w:t>
            </w:r>
          </w:p>
        </w:tc>
      </w:tr>
      <w:tr w14:paraId="39D20A5C">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697B4C4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履约评价指引细则</w:t>
            </w:r>
          </w:p>
        </w:tc>
      </w:tr>
      <w:tr w14:paraId="0F7FF39F">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90898C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序号</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C3DB9D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分项内容</w:t>
            </w:r>
          </w:p>
        </w:tc>
        <w:tc>
          <w:tcPr>
            <w:tcW w:w="1095" w:type="dxa"/>
            <w:gridSpan w:val="2"/>
            <w:tcBorders>
              <w:top w:val="single" w:color="000000" w:sz="4" w:space="0"/>
              <w:left w:val="single" w:color="000000" w:sz="4" w:space="0"/>
              <w:bottom w:val="single" w:color="000000" w:sz="4" w:space="0"/>
              <w:right w:val="single" w:color="000000" w:sz="4" w:space="0"/>
            </w:tcBorders>
            <w:noWrap w:val="0"/>
            <w:vAlign w:val="center"/>
          </w:tcPr>
          <w:p w14:paraId="7D398FC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满分分值</w:t>
            </w:r>
          </w:p>
        </w:tc>
        <w:tc>
          <w:tcPr>
            <w:tcW w:w="4918" w:type="dxa"/>
            <w:tcBorders>
              <w:top w:val="single" w:color="000000" w:sz="4" w:space="0"/>
              <w:left w:val="single" w:color="000000" w:sz="4" w:space="0"/>
              <w:bottom w:val="single" w:color="000000" w:sz="4" w:space="0"/>
              <w:right w:val="single" w:color="000000" w:sz="4" w:space="0"/>
            </w:tcBorders>
            <w:noWrap w:val="0"/>
            <w:vAlign w:val="center"/>
          </w:tcPr>
          <w:p w14:paraId="2BE52F3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评价标准</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3B78C7B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评价得分</w:t>
            </w:r>
          </w:p>
        </w:tc>
      </w:tr>
      <w:tr w14:paraId="15F75864">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1C9191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4E00FCE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人员配备</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521DA12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bidi="ar"/>
              </w:rPr>
              <w:t>10</w:t>
            </w:r>
          </w:p>
        </w:tc>
        <w:tc>
          <w:tcPr>
            <w:tcW w:w="4918" w:type="dxa"/>
            <w:tcBorders>
              <w:top w:val="single" w:color="000000" w:sz="4" w:space="0"/>
              <w:left w:val="single" w:color="000000" w:sz="4" w:space="0"/>
              <w:bottom w:val="single" w:color="000000" w:sz="4" w:space="0"/>
              <w:right w:val="single" w:color="000000" w:sz="4" w:space="0"/>
            </w:tcBorders>
            <w:noWrap w:val="0"/>
            <w:vAlign w:val="center"/>
          </w:tcPr>
          <w:p w14:paraId="5D3AB8F6">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项目实施人员是否具备相应资格并满足</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宋体" w:hAnsi="宋体" w:eastAsia="宋体" w:cs="宋体"/>
                <w:color w:val="auto"/>
                <w:sz w:val="21"/>
                <w:szCs w:val="21"/>
                <w:highlight w:val="none"/>
                <w:lang w:bidi="ar"/>
              </w:rPr>
              <w:t>要求</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29CF613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r w14:paraId="61412743">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9CBADE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4624E0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遵纪守规</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2C80D88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15</w:t>
            </w:r>
          </w:p>
        </w:tc>
        <w:tc>
          <w:tcPr>
            <w:tcW w:w="4918" w:type="dxa"/>
            <w:tcBorders>
              <w:top w:val="single" w:color="000000" w:sz="4" w:space="0"/>
              <w:left w:val="single" w:color="000000" w:sz="4" w:space="0"/>
              <w:bottom w:val="single" w:color="000000" w:sz="4" w:space="0"/>
              <w:right w:val="single" w:color="000000" w:sz="4" w:space="0"/>
            </w:tcBorders>
            <w:noWrap w:val="0"/>
            <w:vAlign w:val="center"/>
          </w:tcPr>
          <w:p w14:paraId="449C86AF">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项目实施人员是否遵守</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宋体" w:hAnsi="宋体" w:eastAsia="宋体" w:cs="宋体"/>
                <w:color w:val="auto"/>
                <w:sz w:val="21"/>
                <w:szCs w:val="21"/>
                <w:highlight w:val="none"/>
                <w:lang w:bidi="ar"/>
              </w:rPr>
              <w:t>规章制度；是否按照</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宋体" w:hAnsi="宋体" w:eastAsia="宋体" w:cs="宋体"/>
                <w:color w:val="auto"/>
                <w:sz w:val="21"/>
                <w:szCs w:val="21"/>
                <w:highlight w:val="none"/>
                <w:lang w:bidi="ar"/>
              </w:rPr>
              <w:t>要求接入软硬件设备等；是否积极配合</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宋体" w:hAnsi="宋体" w:eastAsia="宋体" w:cs="宋体"/>
                <w:color w:val="auto"/>
                <w:sz w:val="21"/>
                <w:szCs w:val="21"/>
                <w:highlight w:val="none"/>
                <w:lang w:bidi="ar"/>
              </w:rPr>
              <w:t>相关技术、业务部门的工作</w:t>
            </w:r>
            <w:r>
              <w:rPr>
                <w:rFonts w:hint="eastAsia" w:ascii="宋体" w:hAnsi="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是否按照</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ascii="宋体" w:hAnsi="宋体" w:eastAsia="宋体" w:cs="宋体"/>
                <w:color w:val="auto"/>
                <w:sz w:val="21"/>
                <w:szCs w:val="21"/>
                <w:highlight w:val="none"/>
                <w:lang w:bidi="ar"/>
              </w:rPr>
              <w:t>规定签订保密协议并遵守执行</w:t>
            </w:r>
            <w:r>
              <w:rPr>
                <w:rFonts w:hint="eastAsia" w:ascii="宋体" w:hAnsi="宋体" w:eastAsia="宋体" w:cs="宋体"/>
                <w:color w:val="auto"/>
                <w:sz w:val="21"/>
                <w:szCs w:val="21"/>
                <w:highlight w:val="none"/>
                <w:lang w:eastAsia="zh-CN" w:bidi="ar"/>
              </w:rPr>
              <w:t>。</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6051CE7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r w14:paraId="1517D51D">
        <w:tblPrEx>
          <w:tblCellMar>
            <w:top w:w="0" w:type="dxa"/>
            <w:left w:w="108" w:type="dxa"/>
            <w:bottom w:w="0" w:type="dxa"/>
            <w:right w:w="108" w:type="dxa"/>
          </w:tblCellMar>
        </w:tblPrEx>
        <w:trPr>
          <w:trHeight w:val="1210"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165C92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5AF7DA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color w:val="auto"/>
                <w:highlight w:val="none"/>
              </w:rPr>
              <w:t>交付成果质量</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2D64455D">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40</w:t>
            </w:r>
          </w:p>
        </w:tc>
        <w:tc>
          <w:tcPr>
            <w:tcW w:w="4918" w:type="dxa"/>
            <w:tcBorders>
              <w:top w:val="single" w:color="000000" w:sz="4" w:space="0"/>
              <w:left w:val="single" w:color="000000" w:sz="4" w:space="0"/>
              <w:bottom w:val="single" w:color="000000" w:sz="4" w:space="0"/>
              <w:right w:val="single" w:color="000000" w:sz="4" w:space="0"/>
            </w:tcBorders>
            <w:noWrap w:val="0"/>
            <w:vAlign w:val="center"/>
          </w:tcPr>
          <w:p w14:paraId="3FD28453">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auto"/>
                <w:sz w:val="21"/>
                <w:szCs w:val="21"/>
                <w:highlight w:val="none"/>
              </w:rPr>
            </w:pPr>
            <w:r>
              <w:rPr>
                <w:rFonts w:hint="eastAsia"/>
                <w:color w:val="auto"/>
                <w:highlight w:val="none"/>
              </w:rPr>
              <w:t>对照合同及《项目需求》，两大管理平台（算力节点、应用节点）的所有功能是否完整实现并通过验收；系统性能、稳定性是否达标；代码规范、技术文档是否齐全、合规且通过</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color w:val="auto"/>
                <w:highlight w:val="none"/>
              </w:rPr>
              <w:t>审核。</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467EF71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r w14:paraId="23DB02E8">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71C048A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E30055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color w:val="auto"/>
                <w:highlight w:val="none"/>
              </w:rPr>
              <w:t>合规与安全</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4A23FFA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default"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10</w:t>
            </w:r>
          </w:p>
        </w:tc>
        <w:tc>
          <w:tcPr>
            <w:tcW w:w="4918" w:type="dxa"/>
            <w:tcBorders>
              <w:top w:val="single" w:color="000000" w:sz="4" w:space="0"/>
              <w:left w:val="single" w:color="000000" w:sz="4" w:space="0"/>
              <w:bottom w:val="single" w:color="000000" w:sz="4" w:space="0"/>
              <w:right w:val="single" w:color="000000" w:sz="4" w:space="0"/>
            </w:tcBorders>
            <w:noWrap w:val="0"/>
            <w:vAlign w:val="center"/>
          </w:tcPr>
          <w:p w14:paraId="4768AC7B">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auto"/>
                <w:sz w:val="21"/>
                <w:szCs w:val="21"/>
                <w:highlight w:val="none"/>
              </w:rPr>
            </w:pPr>
            <w:r>
              <w:rPr>
                <w:rFonts w:hint="eastAsia"/>
                <w:color w:val="auto"/>
                <w:highlight w:val="none"/>
              </w:rPr>
              <w:t>是否严格遵守</w:t>
            </w:r>
            <w:r>
              <w:rPr>
                <w:rFonts w:hint="eastAsia" w:asciiTheme="minorEastAsia" w:hAnsiTheme="minorEastAsia" w:eastAsiaTheme="minorEastAsia" w:cstheme="minorEastAsia"/>
                <w:b w:val="0"/>
                <w:bCs w:val="0"/>
                <w:color w:val="auto"/>
                <w:spacing w:val="-1"/>
                <w:sz w:val="21"/>
                <w:szCs w:val="21"/>
                <w:highlight w:val="none"/>
                <w:lang w:val="en-US" w:eastAsia="zh-CN"/>
              </w:rPr>
              <w:t>采购人</w:t>
            </w:r>
            <w:r>
              <w:rPr>
                <w:rFonts w:hint="eastAsia"/>
                <w:color w:val="auto"/>
                <w:highlight w:val="none"/>
              </w:rPr>
              <w:t>各项规章制度、保密及安全管理要求；技术方案与交付物是否支持国产化环境；是否及时处理安全漏洞，保障系统安全无虞。</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1DD52B22">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r w14:paraId="6F9EE846">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0FFB6B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1ECEBF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服务响应与问题解决</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07FAFC2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4918" w:type="dxa"/>
            <w:tcBorders>
              <w:top w:val="single" w:color="000000" w:sz="4" w:space="0"/>
              <w:left w:val="single" w:color="000000" w:sz="4" w:space="0"/>
              <w:bottom w:val="single" w:color="000000" w:sz="4" w:space="0"/>
              <w:right w:val="single" w:color="000000" w:sz="4" w:space="0"/>
            </w:tcBorders>
            <w:noWrap w:val="0"/>
            <w:vAlign w:val="center"/>
          </w:tcPr>
          <w:p w14:paraId="4E2063CB">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在开发、部署及维保阶段，对问题、咨询及变更需求的响应是否及时；问题分析是否专业，解决是否彻底有效，能否杜绝重复发生。</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48AAB15D">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r w14:paraId="7A9A193C">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66B664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CB27F4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bidi="ar"/>
              </w:rPr>
              <w:t>平台</w:t>
            </w:r>
            <w:r>
              <w:rPr>
                <w:rFonts w:hint="eastAsia" w:ascii="宋体" w:hAnsi="宋体" w:eastAsia="宋体" w:cs="宋体"/>
                <w:color w:val="auto"/>
                <w:sz w:val="21"/>
                <w:szCs w:val="21"/>
                <w:highlight w:val="none"/>
                <w:lang w:bidi="ar"/>
              </w:rPr>
              <w:t>安全性</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71172FA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15</w:t>
            </w:r>
          </w:p>
        </w:tc>
        <w:tc>
          <w:tcPr>
            <w:tcW w:w="4918" w:type="dxa"/>
            <w:tcBorders>
              <w:top w:val="single" w:color="000000" w:sz="4" w:space="0"/>
              <w:left w:val="single" w:color="000000" w:sz="4" w:space="0"/>
              <w:bottom w:val="single" w:color="000000" w:sz="4" w:space="0"/>
              <w:right w:val="single" w:color="000000" w:sz="4" w:space="0"/>
            </w:tcBorders>
            <w:noWrap w:val="0"/>
            <w:vAlign w:val="center"/>
          </w:tcPr>
          <w:p w14:paraId="720109D7">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auto"/>
                <w:sz w:val="21"/>
                <w:szCs w:val="21"/>
                <w:highlight w:val="none"/>
              </w:rPr>
            </w:pPr>
            <w:r>
              <w:rPr>
                <w:rFonts w:hint="eastAsia"/>
                <w:color w:val="auto"/>
                <w:highlight w:val="none"/>
              </w:rPr>
              <w:t>交付的软件是否含有或携带软件病毒等危害和妨碍</w:t>
            </w:r>
            <w:r>
              <w:rPr>
                <w:rFonts w:hint="eastAsia"/>
                <w:color w:val="auto"/>
                <w:highlight w:val="none"/>
                <w:lang w:val="en-US" w:eastAsia="zh-CN"/>
              </w:rPr>
              <w:t>采购人</w:t>
            </w:r>
            <w:r>
              <w:rPr>
                <w:rFonts w:hint="eastAsia"/>
                <w:color w:val="auto"/>
                <w:highlight w:val="none"/>
              </w:rPr>
              <w:t>系统及软件运行的程序和内容。提供的软件及资料不侵犯任何第三方的知识产权</w:t>
            </w:r>
            <w:r>
              <w:rPr>
                <w:rFonts w:hint="eastAsia"/>
                <w:color w:val="auto"/>
                <w:highlight w:val="none"/>
                <w:lang w:eastAsia="zh-CN"/>
              </w:rPr>
              <w:t>；</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40D5D26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auto"/>
                <w:sz w:val="21"/>
                <w:szCs w:val="21"/>
                <w:highlight w:val="none"/>
              </w:rPr>
            </w:pPr>
          </w:p>
        </w:tc>
      </w:tr>
    </w:tbl>
    <w:p w14:paraId="2FA70E32">
      <w:pPr>
        <w:pStyle w:val="20"/>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bookmarkStart w:id="212" w:name="_Toc17254"/>
      <w:bookmarkStart w:id="213" w:name="_Toc20975"/>
      <w:bookmarkStart w:id="214" w:name="_Toc13872"/>
      <w:bookmarkStart w:id="215" w:name="_Toc15226"/>
      <w:bookmarkStart w:id="216" w:name="_Toc1736"/>
      <w:bookmarkStart w:id="217" w:name="_Toc29712"/>
      <w:bookmarkStart w:id="218" w:name="_Toc2539"/>
      <w:bookmarkStart w:id="219" w:name="_Toc1637"/>
      <w:bookmarkStart w:id="220" w:name="_Toc23197"/>
      <w:bookmarkStart w:id="221" w:name="_Toc15484"/>
      <w:bookmarkStart w:id="222" w:name="_Toc20704"/>
      <w:bookmarkStart w:id="223" w:name="_Toc32196"/>
      <w:bookmarkStart w:id="224" w:name="_Toc6590"/>
      <w:bookmarkStart w:id="225" w:name="_Toc31585"/>
      <w:bookmarkStart w:id="226" w:name="_Toc12074"/>
      <w:bookmarkStart w:id="227" w:name="_Toc16183"/>
      <w:bookmarkStart w:id="228" w:name="_Toc15513"/>
      <w:bookmarkStart w:id="229" w:name="_Toc18831"/>
      <w:bookmarkStart w:id="230" w:name="_Toc21662"/>
      <w:bookmarkStart w:id="231" w:name="_Toc11077"/>
      <w:bookmarkStart w:id="232" w:name="_Toc16502"/>
      <w:bookmarkStart w:id="233" w:name="_Toc1993"/>
      <w:bookmarkStart w:id="234" w:name="_Toc27073"/>
      <w:bookmarkStart w:id="235" w:name="_Toc15266"/>
      <w:bookmarkStart w:id="236" w:name="_Toc10096"/>
      <w:bookmarkStart w:id="237" w:name="_Toc20187"/>
      <w:bookmarkStart w:id="238" w:name="_Toc29038"/>
      <w:bookmarkStart w:id="239" w:name="_Toc11576"/>
      <w:bookmarkStart w:id="240" w:name="_Toc32010"/>
      <w:bookmarkStart w:id="241" w:name="_Toc29925"/>
      <w:bookmarkStart w:id="242" w:name="_Toc23551"/>
      <w:bookmarkStart w:id="243" w:name="_Toc6636"/>
      <w:bookmarkStart w:id="244" w:name="_Toc11770"/>
    </w:p>
    <w:p w14:paraId="68DBE385">
      <w:pPr>
        <w:pStyle w:val="2"/>
        <w:jc w:val="center"/>
        <w:rPr>
          <w:color w:val="auto"/>
          <w:sz w:val="32"/>
          <w:szCs w:val="32"/>
          <w:highlight w:val="none"/>
        </w:rPr>
      </w:pPr>
      <w:bookmarkStart w:id="245" w:name="_Toc1844"/>
      <w:bookmarkStart w:id="246" w:name="_Toc27474"/>
      <w:r>
        <w:rPr>
          <w:color w:val="auto"/>
          <w:sz w:val="32"/>
          <w:szCs w:val="32"/>
          <w:highlight w:val="none"/>
        </w:rPr>
        <w:t>第四章  评审方法和评分标准</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436E8D9">
      <w:pPr>
        <w:pStyle w:val="26"/>
        <w:keepNext w:val="0"/>
        <w:keepLines w:val="0"/>
        <w:pageBreakBefore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一、评审方法</w:t>
      </w:r>
    </w:p>
    <w:p w14:paraId="00CA4E26">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w:t>
      </w:r>
      <w:r>
        <w:rPr>
          <w:rFonts w:hint="eastAsia" w:asciiTheme="minorEastAsia" w:hAnsiTheme="minorEastAsia" w:eastAsiaTheme="minorEastAsia" w:cstheme="minorEastAsia"/>
          <w:b/>
          <w:bCs/>
          <w:color w:val="auto"/>
          <w:highlight w:val="none"/>
          <w:lang w:val="en-US" w:eastAsia="zh-CN"/>
        </w:rPr>
        <w:t>小组</w:t>
      </w:r>
      <w:r>
        <w:rPr>
          <w:rFonts w:hint="eastAsia" w:asciiTheme="minorEastAsia" w:hAnsiTheme="minorEastAsia" w:eastAsiaTheme="minorEastAsia" w:cstheme="minorEastAsia"/>
          <w:b/>
          <w:bCs/>
          <w:color w:val="auto"/>
          <w:highlight w:val="none"/>
        </w:rPr>
        <w:t>组成</w:t>
      </w:r>
    </w:p>
    <w:p w14:paraId="43C526E6">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成员组成：由采购评审专家共3人以上的单数组成。</w:t>
      </w:r>
    </w:p>
    <w:p w14:paraId="23E6B81D">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（二）评审原则</w:t>
      </w:r>
    </w:p>
    <w:p w14:paraId="28336BA2">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必须坚持公平、公正、科学和择优的原则。</w:t>
      </w:r>
    </w:p>
    <w:p w14:paraId="2D4097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2.在评审过程中，评审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任何人不得对某个</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发表任何倾向性意见，不得向其他专家评委明示或者暗示自己的评审意见。</w:t>
      </w:r>
    </w:p>
    <w:p w14:paraId="239A7696">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成员对需要共同认定的事项存在争议的，按照少数服从多数的原则作出结论。持不同意见的评审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成员应当在评审报告上签署不同意见并说明理由，否则视为同意。</w:t>
      </w:r>
    </w:p>
    <w:p w14:paraId="3D199B21">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（三）评审要求</w:t>
      </w:r>
    </w:p>
    <w:p w14:paraId="3C711BF8">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核实评审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成员身份，告知回避要求，宣布评审工作纪律和程序。</w:t>
      </w:r>
    </w:p>
    <w:p w14:paraId="548E1EF5">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依据法律法规和磋商文件的规定，对</w:t>
      </w:r>
      <w:r>
        <w:rPr>
          <w:rFonts w:hint="eastAsia" w:asciiTheme="minorEastAsia" w:hAnsiTheme="minorEastAsia" w:eastAsiaTheme="minorEastAsia" w:cstheme="minorEastAsia"/>
          <w:color w:val="auto"/>
          <w:highlight w:val="none"/>
          <w:lang w:val="en-US" w:eastAsia="zh-CN"/>
        </w:rPr>
        <w:t>供应商提交的</w:t>
      </w:r>
      <w:r>
        <w:rPr>
          <w:rFonts w:hint="eastAsia" w:asciiTheme="minorEastAsia" w:hAnsiTheme="minorEastAsia" w:eastAsiaTheme="minorEastAsia" w:cstheme="minorEastAsia"/>
          <w:color w:val="auto"/>
          <w:highlight w:val="none"/>
        </w:rPr>
        <w:t>响应文件</w:t>
      </w:r>
      <w:r>
        <w:rPr>
          <w:rFonts w:hint="eastAsia" w:asciiTheme="minorEastAsia" w:hAnsiTheme="minorEastAsia" w:eastAsiaTheme="minorEastAsia" w:cstheme="minorEastAsia"/>
          <w:color w:val="auto"/>
          <w:highlight w:val="none"/>
          <w:lang w:val="en-US" w:eastAsia="zh-CN"/>
        </w:rPr>
        <w:t>进行初步审查，包括响应文件的有效性、完整性、符合性</w:t>
      </w:r>
      <w:r>
        <w:rPr>
          <w:rFonts w:hint="eastAsia" w:asciiTheme="minorEastAsia" w:hAnsiTheme="minorEastAsia" w:eastAsiaTheme="minorEastAsia" w:cstheme="minorEastAsia"/>
          <w:color w:val="auto"/>
          <w:highlight w:val="none"/>
        </w:rPr>
        <w:t>是否对磋商文件的实质性要求作出响应，对于磋商文件中所有标注</w:t>
      </w:r>
      <w:r>
        <w:rPr>
          <w:rFonts w:hint="eastAsia" w:asciiTheme="minorEastAsia" w:hAnsiTheme="minorEastAsia" w:eastAsiaTheme="minorEastAsia" w:cstheme="minorEastAsia"/>
          <w:b/>
          <w:bCs/>
          <w:color w:val="auto"/>
          <w:highlight w:val="none"/>
        </w:rPr>
        <w:t>★</w:t>
      </w:r>
      <w:r>
        <w:rPr>
          <w:rFonts w:hint="eastAsia" w:asciiTheme="minorEastAsia" w:hAnsiTheme="minorEastAsia" w:eastAsiaTheme="minorEastAsia" w:cstheme="minorEastAsia"/>
          <w:color w:val="auto"/>
          <w:highlight w:val="none"/>
        </w:rPr>
        <w:t>号的实质性条款要求响应均无负偏离。</w:t>
      </w:r>
    </w:p>
    <w:p w14:paraId="764FE11B">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按磋商文件对资格性审查和符合性审查合格的响应文件进行商务和技术评估，综合比较与评价。</w:t>
      </w:r>
    </w:p>
    <w:p w14:paraId="308F469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对评审数据进行校对、核对，对畸高、畸低的重大差异评分提示评审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复核或书面说明理由。</w:t>
      </w:r>
    </w:p>
    <w:p w14:paraId="2C0125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发现评审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有明显的违规倾向或歧视现象，或不按评标办法进行，或其他不正常行为的，应当及时制止。</w:t>
      </w:r>
    </w:p>
    <w:p w14:paraId="053AEF1B">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（四）评审程序</w:t>
      </w:r>
    </w:p>
    <w:p w14:paraId="23D40FFF">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p>
    <w:p w14:paraId="2F0A2E73">
      <w:pPr>
        <w:pStyle w:val="20"/>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2.评审响应文件。</w:t>
      </w:r>
    </w:p>
    <w:p w14:paraId="084FAF0F">
      <w:pPr>
        <w:pStyle w:val="20"/>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3.磋商。</w:t>
      </w:r>
    </w:p>
    <w:p w14:paraId="2C9BD79D">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4.最后报价。</w:t>
      </w:r>
    </w:p>
    <w:p w14:paraId="1E85528B">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综合比较和评价。</w:t>
      </w:r>
    </w:p>
    <w:p w14:paraId="61CC2F7C">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推荐</w:t>
      </w:r>
      <w:r>
        <w:rPr>
          <w:rFonts w:hint="eastAsia" w:asciiTheme="minorEastAsia" w:hAnsiTheme="minorEastAsia" w:eastAsiaTheme="minorEastAsia" w:cstheme="minorEastAsia"/>
          <w:color w:val="auto"/>
          <w:highlight w:val="none"/>
          <w:lang w:val="en-US" w:eastAsia="zh-CN"/>
        </w:rPr>
        <w:t>成交候选供应商</w:t>
      </w:r>
      <w:r>
        <w:rPr>
          <w:rFonts w:hint="eastAsia" w:asciiTheme="minorEastAsia" w:hAnsiTheme="minorEastAsia" w:eastAsiaTheme="minorEastAsia" w:cstheme="minorEastAsia"/>
          <w:color w:val="auto"/>
          <w:highlight w:val="none"/>
        </w:rPr>
        <w:t>名单。</w:t>
      </w:r>
    </w:p>
    <w:p w14:paraId="65B06690">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（五）澄清问题的形式</w:t>
      </w:r>
    </w:p>
    <w:p w14:paraId="6D993F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对响应文件中含义不明确、同类问题表述不一致或者有明显文字和计算错误的内容，评审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可以书面形式要求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作出必要的澄清、说明或者纠正。</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的澄清、说明或者纠正应当采用书面形式，由法定代表人或委托代理人签字或盖章确认，并不得超出响应文件的范围或者改变响应文件实质性内容。</w:t>
      </w:r>
    </w:p>
    <w:p w14:paraId="478528DD">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（六）错误修正</w:t>
      </w:r>
    </w:p>
    <w:p w14:paraId="58A59FA1">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响应文件如果出现计算或者表达上的错误，修正错误的原则如下：</w:t>
      </w:r>
    </w:p>
    <w:p w14:paraId="68B35667">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1.报价文件的大写金额与小写金额不一致的，以大写金额为准；</w:t>
      </w:r>
    </w:p>
    <w:p w14:paraId="28ACC14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2.单价金额小数点有明显错位的，应以总价为准，并修改单价</w:t>
      </w:r>
      <w:r>
        <w:rPr>
          <w:rFonts w:hint="eastAsia" w:asciiTheme="minorEastAsia" w:hAnsiTheme="minorEastAsia" w:eastAsiaTheme="minorEastAsia" w:cstheme="minorEastAsia"/>
          <w:color w:val="auto"/>
          <w:highlight w:val="none"/>
          <w:lang w:val="en-US" w:eastAsia="zh-CN"/>
        </w:rPr>
        <w:t>；</w:t>
      </w:r>
    </w:p>
    <w:p w14:paraId="711675A1">
      <w:pPr>
        <w:pStyle w:val="14"/>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总价金额与按单价汇总金额不一致的，以单价金额计算结果为准</w:t>
      </w:r>
      <w:r>
        <w:rPr>
          <w:rFonts w:hint="eastAsia" w:asciiTheme="minorEastAsia" w:hAnsiTheme="minorEastAsia" w:eastAsiaTheme="minorEastAsia" w:cstheme="minorEastAsia"/>
          <w:color w:val="auto"/>
          <w:highlight w:val="none"/>
          <w:lang w:eastAsia="zh-CN"/>
        </w:rPr>
        <w:t>。</w:t>
      </w:r>
    </w:p>
    <w:p w14:paraId="5F0ECE69">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按上述修正错误的原则及方法调整或修正响应文件的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同意并签字确认后，调整后的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具有约束作用。如果</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不接受修正后的报价，则其磋商将作为无效磋商处理。</w:t>
      </w:r>
    </w:p>
    <w:p w14:paraId="78B557FF">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（七）磋商</w:t>
      </w:r>
    </w:p>
    <w:p w14:paraId="7AD42FFE">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磋商程序如下：</w:t>
      </w:r>
    </w:p>
    <w:p w14:paraId="6580DD5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r>
        <w:rPr>
          <w:rFonts w:hint="eastAsia" w:asciiTheme="minorEastAsia" w:hAnsiTheme="minorEastAsia" w:eastAsiaTheme="minorEastAsia" w:cstheme="minorEastAsia"/>
          <w:b/>
          <w:bCs/>
          <w:color w:val="auto"/>
          <w:highlight w:val="none"/>
          <w:lang w:eastAsia="zh-CN"/>
        </w:rPr>
        <w:t>供应商</w:t>
      </w:r>
      <w:r>
        <w:rPr>
          <w:rFonts w:hint="eastAsia" w:asciiTheme="minorEastAsia" w:hAnsiTheme="minorEastAsia" w:eastAsiaTheme="minorEastAsia" w:cstheme="minorEastAsia"/>
          <w:b/>
          <w:bCs/>
          <w:color w:val="auto"/>
          <w:highlight w:val="none"/>
        </w:rPr>
        <w:t>的法定代表人或其授权代表必须现场持有效证件按时参加磋商。</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的授权代表（或法定代表人）必须参加每次磋商。主持人宣布参加人员及有关事项。</w:t>
      </w:r>
    </w:p>
    <w:p w14:paraId="295F005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2.评审小组告知各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第一轮磋商的时间和磋商内容，各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退场等候。</w:t>
      </w:r>
    </w:p>
    <w:p w14:paraId="5E7EBE54">
      <w:pPr>
        <w:pStyle w:val="18"/>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3.评审小组根据磋商文件规定的程序、评定成交的标准等事项与实质性响应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文件要求的供应商进行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w:t>
      </w:r>
    </w:p>
    <w:p w14:paraId="4DB61172">
      <w:pPr>
        <w:pStyle w:val="18"/>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评审小组所有成员应当按照已确定的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顺序集中与单一供应商分别进行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，并给予所有实质性响应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w:t>
      </w:r>
      <w:r>
        <w:rPr>
          <w:rFonts w:hint="eastAsia" w:asciiTheme="minorEastAsia" w:hAnsiTheme="minorEastAsia" w:eastAsiaTheme="minorEastAsia" w:cstheme="minorEastAsia"/>
          <w:color w:val="auto"/>
          <w:highlight w:val="none"/>
          <w:lang w:val="en-US" w:eastAsia="zh-CN"/>
        </w:rPr>
        <w:t>商</w:t>
      </w:r>
      <w:r>
        <w:rPr>
          <w:rFonts w:hint="eastAsia" w:asciiTheme="minorEastAsia" w:hAnsiTheme="minorEastAsia" w:eastAsiaTheme="minorEastAsia" w:cstheme="minorEastAsia"/>
          <w:color w:val="auto"/>
          <w:highlight w:val="none"/>
        </w:rPr>
        <w:t>平等的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机会。</w:t>
      </w:r>
    </w:p>
    <w:p w14:paraId="0A8BF2B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5.在磋商过程中</w:t>
      </w:r>
      <w:r>
        <w:rPr>
          <w:rFonts w:hint="eastAsia" w:asciiTheme="minorEastAsia" w:hAnsiTheme="minorEastAsia" w:eastAsiaTheme="minorEastAsia" w:cstheme="minorEastAsia"/>
          <w:color w:val="auto"/>
          <w:highlight w:val="none"/>
        </w:rPr>
        <w:t>，评审小组可以根据磋商文件和磋商情况实质性变动采购需求中的技术、服务要求以及合同草案条款</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进行磋商，但不得变动磋商文件中的其他内容。</w:t>
      </w:r>
    </w:p>
    <w:p w14:paraId="4A1B3E2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.评审小组将根据</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的响应文件、陈述含混模糊之处或需要进一步了解的细节对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提出问题，</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作出回答，最后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须按所有问题提交书面的补充方案、对其磋商内容作出澄清或重新进行报价，并于规定时间递交评审小组。</w:t>
      </w:r>
    </w:p>
    <w:p w14:paraId="503B751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.重新磋商：双方对修改后的响应文件进行磋商，直至达成磋商结果。评审小组成员经评议后，根据磋商情况，可以要求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进行多次报价。</w:t>
      </w:r>
    </w:p>
    <w:p w14:paraId="49AFD04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最后报价：磋商结束后，</w:t>
      </w:r>
      <w:r>
        <w:rPr>
          <w:rFonts w:hint="eastAsia" w:asciiTheme="minorEastAsia" w:hAnsiTheme="minorEastAsia" w:eastAsiaTheme="minorEastAsia" w:cstheme="minorEastAsia"/>
          <w:color w:val="auto"/>
          <w:highlight w:val="none"/>
        </w:rPr>
        <w:t>所有</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156DA94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.已提交响应文件的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，在提交最后报价之前，可以根据磋商情况退出磋商。退出磋商的须提供书面通知（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授权代表须签字确认），评审小组在表决单中注明退出磋商的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名单。</w:t>
      </w:r>
    </w:p>
    <w:p w14:paraId="5BC04350">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.磋商达成。磋商的结果以书面为准，经</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和评审小组代表确认后，替代磋商文件或响应文件中相应的内容，并作为构成响应文件的一部分和作为评审的依据。如成交，则作为合同、履约等的组成部分。</w:t>
      </w:r>
    </w:p>
    <w:p w14:paraId="5C3D380D">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lang w:val="en-US" w:eastAsia="zh-CN"/>
        </w:rPr>
        <w:t>11</w:t>
      </w:r>
      <w:r>
        <w:rPr>
          <w:rFonts w:hint="eastAsia" w:asciiTheme="minorEastAsia" w:hAnsiTheme="minorEastAsia" w:eastAsiaTheme="minorEastAsia" w:cstheme="minorEastAsia"/>
          <w:color w:val="auto"/>
          <w:highlight w:val="none"/>
        </w:rPr>
        <w:t>.评审小组认为</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的报价明显低于其他通过符合性审查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的报价，有可能影响产品</w:t>
      </w:r>
      <w:r>
        <w:rPr>
          <w:rFonts w:hint="eastAsia" w:asciiTheme="minorEastAsia" w:hAnsiTheme="minorEastAsia" w:eastAsiaTheme="minorEastAsia" w:cstheme="minorEastAsia"/>
          <w:color w:val="auto"/>
          <w:highlight w:val="none"/>
          <w:lang w:val="en-US" w:eastAsia="zh-CN"/>
        </w:rPr>
        <w:t>或服务</w:t>
      </w:r>
      <w:r>
        <w:rPr>
          <w:rFonts w:hint="eastAsia" w:asciiTheme="minorEastAsia" w:hAnsiTheme="minorEastAsia" w:eastAsiaTheme="minorEastAsia" w:cstheme="minorEastAsia"/>
          <w:color w:val="auto"/>
          <w:highlight w:val="none"/>
        </w:rPr>
        <w:t>质量或者不能诚信履约的，应当要求其在评审现场合理的时间内提供书面说明，必要时提交相关证明材料；</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不能证明其报价合理性的，评审小组应当将其作为无效</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处理。</w:t>
      </w:r>
    </w:p>
    <w:p w14:paraId="0D6E228E">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（八）属于下列情况之一者，磋商无效：</w:t>
      </w:r>
    </w:p>
    <w:p w14:paraId="2DC2341C">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1.未按照磋商文件规定要求密封、签署、盖章的，或未提供法定代表人授权委托书（委托代理时）。</w:t>
      </w:r>
    </w:p>
    <w:p w14:paraId="51F0B7A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2.超越了按照法律法规规定必须获得行政许可。</w:t>
      </w:r>
    </w:p>
    <w:p w14:paraId="761A81E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3.响应文件未按磋商文件的内容和要求编写，或提供虚假材料的。</w:t>
      </w:r>
    </w:p>
    <w:p w14:paraId="217C7098">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有效期不能满足磋商文件要求的。</w:t>
      </w:r>
    </w:p>
    <w:p w14:paraId="281E096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未按本项目需求中公布的采购内容作完整唯一报价。</w:t>
      </w:r>
    </w:p>
    <w:p w14:paraId="3B478A8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6.不满足本项目需求中的实质性要求，或经评审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一致认定有明显不符合响应文件规定的技术规格、技术标准要求的实质性要求。</w:t>
      </w:r>
    </w:p>
    <w:p w14:paraId="0A766CA6">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未按要求提供“原件备查”材料原件的，或所提供材料原件与其在响应文件中提供的材料复印件不一致的。</w:t>
      </w:r>
    </w:p>
    <w:p w14:paraId="270F5F10">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8.未实质性响应磋商文件要求或者磋商文件有采购人不能接受的附加条件的。</w:t>
      </w:r>
    </w:p>
    <w:p w14:paraId="0FAC234B">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9.不符合法律、法规或磋商文件规定的其他实质性要求和条件的。</w:t>
      </w:r>
    </w:p>
    <w:p w14:paraId="79C67265">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10.响应文件内容印刷字迹模糊、复印证件内容不清晰的。</w:t>
      </w:r>
    </w:p>
    <w:p w14:paraId="6710A05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11.文件中注明“必须提供”的文件未加盖</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公章（扫描公章无效）的。</w:t>
      </w:r>
    </w:p>
    <w:p w14:paraId="19DF7A4F">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12.报价超过采购预算的。</w:t>
      </w:r>
    </w:p>
    <w:p w14:paraId="091299ED">
      <w:pPr>
        <w:pStyle w:val="21"/>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13.未按磋商文件规定提交保证金的。</w:t>
      </w:r>
    </w:p>
    <w:p w14:paraId="2C83B402">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（九）属于下列情形之一的，应予废标：</w:t>
      </w:r>
    </w:p>
    <w:p w14:paraId="0213BF13">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1.出现影响采购公正的违法、违规行为的。</w:t>
      </w:r>
    </w:p>
    <w:p w14:paraId="68CD04EC">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2.因重大变故，采购任务取消的。</w:t>
      </w:r>
    </w:p>
    <w:p w14:paraId="11A72757">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（十）评审过程的监控</w:t>
      </w:r>
    </w:p>
    <w:p w14:paraId="0A610387">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本项目评审过程实行监察，</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在评审过程中所进行的试图影响评审结果的不公正活动，可能导致其磋商被拒绝。</w:t>
      </w:r>
    </w:p>
    <w:p w14:paraId="73554498">
      <w:pPr>
        <w:pStyle w:val="20"/>
        <w:rPr>
          <w:color w:val="auto"/>
          <w:highlight w:val="none"/>
        </w:rPr>
      </w:pPr>
    </w:p>
    <w:p w14:paraId="1473B631">
      <w:pPr>
        <w:pStyle w:val="132"/>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4D5AF06">
      <w:pPr>
        <w:pStyle w:val="188"/>
        <w:keepNext w:val="0"/>
        <w:keepLines w:val="0"/>
        <w:pageBreakBefore w:val="0"/>
        <w:kinsoku/>
        <w:wordWrap/>
        <w:overflowPunct/>
        <w:topLinePunct w:val="0"/>
        <w:autoSpaceDN/>
        <w:bidi w:val="0"/>
        <w:adjustRightInd/>
        <w:spacing w:before="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二、评分标准</w:t>
      </w:r>
    </w:p>
    <w:p w14:paraId="09DDA196">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（一）评分依据：</w:t>
      </w:r>
      <w:r>
        <w:rPr>
          <w:rFonts w:hint="eastAsia" w:ascii="宋体" w:hAnsi="宋体" w:eastAsia="宋体" w:cs="宋体"/>
          <w:color w:val="auto"/>
          <w:sz w:val="21"/>
          <w:szCs w:val="21"/>
          <w:highlight w:val="none"/>
        </w:rPr>
        <w:t>评审小组以磋商文件和响应文件为依据，对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的业绩、方案、报价等内容按百分制打分。</w:t>
      </w:r>
    </w:p>
    <w:p w14:paraId="00D51AD1">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（二）评审方法：</w:t>
      </w:r>
      <w:r>
        <w:rPr>
          <w:rFonts w:hint="eastAsia" w:ascii="宋体" w:hAnsi="宋体" w:eastAsia="宋体" w:cs="宋体"/>
          <w:color w:val="auto"/>
          <w:sz w:val="21"/>
          <w:szCs w:val="21"/>
          <w:highlight w:val="none"/>
        </w:rPr>
        <w:t>采用百分制综合评分法，</w:t>
      </w:r>
      <w:r>
        <w:rPr>
          <w:rFonts w:hint="eastAsia" w:ascii="宋体" w:hAnsi="宋体" w:eastAsia="宋体" w:cs="宋体"/>
          <w:color w:val="auto"/>
          <w:sz w:val="21"/>
          <w:szCs w:val="21"/>
          <w:highlight w:val="none"/>
          <w:lang w:eastAsia="ar-SA"/>
        </w:rPr>
        <w:t>评分分值计算保留小数点后两位，第三位四舍五入</w:t>
      </w:r>
      <w:r>
        <w:rPr>
          <w:rFonts w:hint="eastAsia" w:ascii="宋体" w:hAnsi="宋体" w:eastAsia="宋体" w:cs="宋体"/>
          <w:color w:val="auto"/>
          <w:sz w:val="21"/>
          <w:szCs w:val="21"/>
          <w:highlight w:val="none"/>
        </w:rPr>
        <w:t>。</w:t>
      </w:r>
    </w:p>
    <w:p w14:paraId="645013EF">
      <w:pPr>
        <w:keepNext w:val="0"/>
        <w:keepLines w:val="0"/>
        <w:pageBreakBefore w:val="0"/>
        <w:kinsoku/>
        <w:wordWrap/>
        <w:overflowPunct/>
        <w:topLinePunct w:val="0"/>
        <w:autoSpaceDN/>
        <w:bidi w:val="0"/>
        <w:adjustRightInd/>
        <w:snapToGrid w:val="0"/>
        <w:spacing w:line="400" w:lineRule="exact"/>
        <w:ind w:firstLine="422" w:firstLineChars="200"/>
        <w:jc w:val="both"/>
        <w:textAlignment w:val="auto"/>
        <w:outlineLvl w:val="4"/>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（三）商务和技术评审</w:t>
      </w:r>
    </w:p>
    <w:p w14:paraId="5DA8D797">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评审小组按磋商文件中规定的评审方法和标准，对合格的响应文件进行商务和技术评审。</w:t>
      </w:r>
      <w:r>
        <w:rPr>
          <w:rStyle w:val="119"/>
          <w:rFonts w:hint="eastAsia" w:ascii="宋体" w:hAnsi="宋体" w:eastAsia="宋体" w:cs="宋体"/>
          <w:color w:val="auto"/>
          <w:sz w:val="21"/>
          <w:szCs w:val="21"/>
          <w:highlight w:val="none"/>
        </w:rPr>
        <w:t>具体评审标准见《</w:t>
      </w:r>
      <w:r>
        <w:rPr>
          <w:rFonts w:hint="eastAsia" w:ascii="宋体" w:hAnsi="宋体" w:eastAsia="宋体" w:cs="宋体"/>
          <w:bCs/>
          <w:color w:val="auto"/>
          <w:kern w:val="0"/>
          <w:sz w:val="21"/>
          <w:szCs w:val="21"/>
          <w:highlight w:val="none"/>
        </w:rPr>
        <w:t>评分</w:t>
      </w:r>
      <w:r>
        <w:rPr>
          <w:rFonts w:hint="eastAsia" w:ascii="宋体" w:hAnsi="宋体" w:eastAsia="宋体" w:cs="宋体"/>
          <w:bCs/>
          <w:color w:val="auto"/>
          <w:kern w:val="0"/>
          <w:sz w:val="21"/>
          <w:szCs w:val="21"/>
          <w:highlight w:val="none"/>
          <w:lang w:val="en-US" w:eastAsia="zh-CN"/>
        </w:rPr>
        <w:t>方法</w:t>
      </w:r>
      <w:r>
        <w:rPr>
          <w:rStyle w:val="119"/>
          <w:rFonts w:hint="eastAsia" w:ascii="宋体" w:hAnsi="宋体" w:eastAsia="宋体" w:cs="宋体"/>
          <w:color w:val="auto"/>
          <w:sz w:val="21"/>
          <w:szCs w:val="21"/>
          <w:highlight w:val="none"/>
        </w:rPr>
        <w:t>》。</w:t>
      </w:r>
    </w:p>
    <w:p w14:paraId="0095C613">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评审小组各成员对每个有效</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511078D7">
      <w:pPr>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rPr>
        <w:t>候选</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推荐原则</w:t>
      </w:r>
    </w:p>
    <w:p w14:paraId="67354302">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1.评审小组将根据得分由高到低排列次序（得分相同时，以</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报价由低到高顺序排列；得分相同且</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报价相同的，按技术实施方案优劣顺序排列）并推荐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。采购人应当确定评审小组推荐排名</w:t>
      </w:r>
      <w:r>
        <w:rPr>
          <w:rFonts w:hint="eastAsia" w:ascii="宋体" w:hAnsi="宋体" w:eastAsia="宋体" w:cs="宋体"/>
          <w:b/>
          <w:bCs/>
          <w:color w:val="auto"/>
          <w:sz w:val="24"/>
          <w:szCs w:val="24"/>
          <w:highlight w:val="none"/>
        </w:rPr>
        <w:t>第1</w:t>
      </w:r>
      <w:r>
        <w:rPr>
          <w:rFonts w:hint="eastAsia" w:ascii="宋体" w:hAnsi="宋体" w:eastAsia="宋体" w:cs="宋体"/>
          <w:color w:val="auto"/>
          <w:sz w:val="21"/>
          <w:szCs w:val="21"/>
          <w:highlight w:val="none"/>
        </w:rPr>
        <w:t>的候选人为成交供应商。</w:t>
      </w:r>
    </w:p>
    <w:p w14:paraId="3882E168">
      <w:pPr>
        <w:pStyle w:val="26"/>
        <w:keepNext w:val="0"/>
        <w:keepLines w:val="0"/>
        <w:pageBreakBefore w:val="0"/>
        <w:tabs>
          <w:tab w:val="left" w:pos="2520"/>
        </w:tabs>
        <w:kinsoku/>
        <w:wordWrap/>
        <w:overflowPunct/>
        <w:topLinePunct w:val="0"/>
        <w:autoSpaceDE w:val="0"/>
        <w:autoSpaceDN/>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2.评审小组成员对需要共同认定的事项存在争议的，应当按照少数服从多数的原则作出结论。持不同意见的评审小组成员应当在表决单上签署不同意见及理由，否则视为同意。</w:t>
      </w:r>
    </w:p>
    <w:p w14:paraId="7F45DD64">
      <w:pPr>
        <w:pStyle w:val="12"/>
        <w:keepNext w:val="0"/>
        <w:keepLines w:val="0"/>
        <w:pageBreakBefore w:val="0"/>
        <w:kinsoku/>
        <w:wordWrap/>
        <w:overflowPunct/>
        <w:topLinePunct w:val="0"/>
        <w:autoSpaceDN/>
        <w:bidi w:val="0"/>
        <w:adjustRightInd/>
        <w:spacing w:line="400" w:lineRule="exact"/>
        <w:ind w:left="0" w:firstLine="422" w:firstLineChars="200"/>
        <w:jc w:val="both"/>
        <w:textAlignment w:val="auto"/>
        <w:rPr>
          <w:rFonts w:hint="eastAsia" w:ascii="宋体" w:hAnsi="宋体" w:eastAsia="宋体" w:cs="宋体"/>
          <w:b/>
          <w:bCs/>
          <w:color w:val="auto"/>
          <w:sz w:val="21"/>
          <w:szCs w:val="21"/>
          <w:highlight w:val="none"/>
        </w:rPr>
      </w:pPr>
      <w:bookmarkStart w:id="247" w:name="_Toc15851"/>
      <w:bookmarkStart w:id="248" w:name="_Toc551"/>
      <w:bookmarkStart w:id="249" w:name="_Toc13731"/>
      <w:bookmarkStart w:id="250" w:name="_Toc10446"/>
      <w:bookmarkStart w:id="251" w:name="_Toc5847"/>
      <w:bookmarkStart w:id="252" w:name="_Toc30393"/>
      <w:bookmarkStart w:id="253" w:name="_Toc21245"/>
      <w:bookmarkStart w:id="254" w:name="_Toc32230"/>
      <w:bookmarkStart w:id="255" w:name="_Toc8185"/>
      <w:bookmarkStart w:id="256" w:name="_Toc4273"/>
      <w:bookmarkStart w:id="257" w:name="_Toc29345"/>
      <w:bookmarkStart w:id="258" w:name="_Toc5493"/>
      <w:bookmarkStart w:id="259" w:name="_Toc21967"/>
      <w:bookmarkStart w:id="260" w:name="_Toc20797"/>
      <w:r>
        <w:rPr>
          <w:rFonts w:hint="eastAsia" w:ascii="宋体" w:hAnsi="宋体" w:eastAsia="宋体" w:cs="宋体"/>
          <w:b/>
          <w:bCs/>
          <w:color w:val="auto"/>
          <w:sz w:val="21"/>
          <w:szCs w:val="21"/>
          <w:highlight w:val="none"/>
        </w:rPr>
        <w:t>（五）评分方法</w:t>
      </w:r>
    </w:p>
    <w:tbl>
      <w:tblPr>
        <w:tblStyle w:val="42"/>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3"/>
        <w:gridCol w:w="817"/>
        <w:gridCol w:w="795"/>
        <w:gridCol w:w="7182"/>
      </w:tblGrid>
      <w:tr w14:paraId="545C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2B940869">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1"/>
                <w:szCs w:val="21"/>
                <w:highlight w:val="none"/>
                <w:lang w:val="en-US" w:eastAsia="zh-CN"/>
              </w:rPr>
            </w:pPr>
            <w:bookmarkStart w:id="261" w:name="_Toc6971"/>
            <w:bookmarkStart w:id="262" w:name="_Toc2238"/>
            <w:bookmarkStart w:id="263" w:name="_Toc21070"/>
            <w:bookmarkStart w:id="264" w:name="_Toc9725"/>
            <w:bookmarkStart w:id="265" w:name="_Toc10870"/>
            <w:bookmarkStart w:id="266" w:name="_Toc4141"/>
            <w:bookmarkStart w:id="267" w:name="_Toc4260"/>
            <w:bookmarkStart w:id="268" w:name="_Toc13232"/>
            <w:bookmarkStart w:id="269" w:name="_Toc3450"/>
            <w:r>
              <w:rPr>
                <w:rFonts w:hint="eastAsia" w:ascii="宋体" w:hAnsi="宋体" w:eastAsia="宋体" w:cs="宋体"/>
                <w:b/>
                <w:bCs/>
                <w:color w:val="auto"/>
                <w:sz w:val="21"/>
                <w:szCs w:val="21"/>
                <w:highlight w:val="none"/>
                <w:lang w:val="en-US" w:eastAsia="zh-CN"/>
              </w:rPr>
              <w:t>评审因素</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6CAFBDAA">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评审标准</w:t>
            </w:r>
          </w:p>
        </w:tc>
      </w:tr>
      <w:tr w14:paraId="1B77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33" w:type="dxa"/>
            <w:vMerge w:val="restart"/>
            <w:tcBorders>
              <w:top w:val="single" w:color="auto" w:sz="4" w:space="0"/>
              <w:left w:val="single" w:color="auto" w:sz="4" w:space="0"/>
              <w:right w:val="single" w:color="auto" w:sz="4" w:space="0"/>
            </w:tcBorders>
            <w:noWrap w:val="0"/>
            <w:vAlign w:val="center"/>
          </w:tcPr>
          <w:p w14:paraId="6AF92A58">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817" w:type="dxa"/>
            <w:vMerge w:val="restart"/>
            <w:tcBorders>
              <w:top w:val="single" w:color="auto" w:sz="4" w:space="0"/>
              <w:left w:val="single" w:color="auto" w:sz="4" w:space="0"/>
              <w:right w:val="single" w:color="auto" w:sz="4" w:space="0"/>
            </w:tcBorders>
            <w:noWrap w:val="0"/>
            <w:vAlign w:val="center"/>
          </w:tcPr>
          <w:p w14:paraId="22366344">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w:t>
            </w:r>
          </w:p>
          <w:p w14:paraId="2A9A2C10">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（10分）</w:t>
            </w:r>
          </w:p>
          <w:p w14:paraId="36891F1D">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2A0F28A3">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业绩</w:t>
            </w:r>
          </w:p>
          <w:p w14:paraId="1B284B6B">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（5分）</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0755DE59">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投标人自2021年1月1日以来完成过的同类案例。</w:t>
            </w:r>
            <w:r>
              <w:rPr>
                <w:rFonts w:hint="eastAsia" w:hAnsi="宋体" w:eastAsia="宋体" w:cs="宋体"/>
                <w:bCs/>
                <w:color w:val="auto"/>
                <w:sz w:val="21"/>
                <w:szCs w:val="21"/>
                <w:highlight w:val="none"/>
                <w:lang w:val="en-US" w:eastAsia="zh-CN"/>
              </w:rPr>
              <w:t>每提供1个加1分，满分5分。</w:t>
            </w:r>
          </w:p>
          <w:p w14:paraId="0FD912BB">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default" w:ascii="宋体" w:hAnsi="宋体" w:eastAsia="宋体" w:cs="宋体"/>
                <w:bCs/>
                <w:color w:val="auto"/>
                <w:sz w:val="21"/>
                <w:szCs w:val="21"/>
                <w:highlight w:val="none"/>
                <w:lang w:val="en-US" w:eastAsia="zh-CN"/>
              </w:rPr>
            </w:pPr>
            <w:r>
              <w:rPr>
                <w:rFonts w:hint="eastAsia"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en-US" w:eastAsia="zh-CN"/>
              </w:rPr>
              <w:t>合同以签订时间为准，能清晰反映项目名称、合同执行时间、及合同双方盖章等内容，如有缺漏，视为无效业绩。提供合同复印件并加盖供应商公章</w:t>
            </w:r>
            <w:r>
              <w:rPr>
                <w:rFonts w:hint="eastAsia" w:hAnsi="宋体" w:eastAsia="宋体" w:cs="宋体"/>
                <w:bCs/>
                <w:color w:val="auto"/>
                <w:sz w:val="21"/>
                <w:szCs w:val="21"/>
                <w:highlight w:val="none"/>
                <w:lang w:val="en-US" w:eastAsia="zh-CN"/>
              </w:rPr>
              <w:t>。</w:t>
            </w:r>
          </w:p>
        </w:tc>
      </w:tr>
      <w:tr w14:paraId="309A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33" w:type="dxa"/>
            <w:vMerge w:val="continue"/>
            <w:tcBorders>
              <w:left w:val="single" w:color="auto" w:sz="4" w:space="0"/>
              <w:right w:val="single" w:color="auto" w:sz="4" w:space="0"/>
            </w:tcBorders>
            <w:noWrap w:val="0"/>
            <w:vAlign w:val="center"/>
          </w:tcPr>
          <w:p w14:paraId="61F15DFD">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p>
        </w:tc>
        <w:tc>
          <w:tcPr>
            <w:tcW w:w="817" w:type="dxa"/>
            <w:vMerge w:val="continue"/>
            <w:tcBorders>
              <w:left w:val="single" w:color="auto" w:sz="4" w:space="0"/>
              <w:right w:val="single" w:color="auto" w:sz="4" w:space="0"/>
            </w:tcBorders>
            <w:noWrap w:val="0"/>
            <w:vAlign w:val="center"/>
          </w:tcPr>
          <w:p w14:paraId="47B64DDC">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5FD2414C">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资质情况</w:t>
            </w:r>
          </w:p>
          <w:p w14:paraId="6FFA4F57">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（5分）</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5A669B9D">
            <w:pPr>
              <w:pStyle w:val="20"/>
              <w:keepNext w:val="0"/>
              <w:keepLines w:val="0"/>
              <w:pageBreakBefore w:val="0"/>
              <w:wordWrap/>
              <w:topLinePunct w:val="0"/>
              <w:autoSpaceDE/>
              <w:autoSpaceDN/>
              <w:bidi w:val="0"/>
              <w:spacing w:after="0" w:line="38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提供ISO20000或ISO27001体系认证、ISO9001质量体系认证证书、</w:t>
            </w:r>
            <w:r>
              <w:rPr>
                <w:rFonts w:hint="eastAsia" w:ascii="宋体" w:hAnsi="宋体" w:eastAsia="宋体" w:cs="宋体"/>
                <w:color w:val="auto"/>
                <w:sz w:val="21"/>
                <w:szCs w:val="21"/>
                <w:highlight w:val="none"/>
                <w:lang w:val="en-US" w:eastAsia="zh-CN"/>
              </w:rPr>
              <w:t>ISO22301业务连续性管理体系认证证书、国产化信息系统集成和服务能力等级证书（LS证书）、信息系统建设和服务能力等级证书（CS证书）</w:t>
            </w:r>
            <w:r>
              <w:rPr>
                <w:rFonts w:hint="eastAsia" w:ascii="宋体" w:hAnsi="宋体" w:eastAsia="宋体" w:cs="宋体"/>
                <w:color w:val="auto"/>
                <w:sz w:val="21"/>
                <w:szCs w:val="21"/>
                <w:highlight w:val="none"/>
                <w:lang w:val="en-US" w:eastAsia="zh-CN"/>
              </w:rPr>
              <w:t>资质。每提供一个得1分，满分5分。</w:t>
            </w:r>
          </w:p>
          <w:p w14:paraId="0FA1D3B5">
            <w:pPr>
              <w:pStyle w:val="20"/>
              <w:keepNext w:val="0"/>
              <w:keepLines w:val="0"/>
              <w:pageBreakBefore w:val="0"/>
              <w:wordWrap/>
              <w:topLinePunct w:val="0"/>
              <w:autoSpaceDE/>
              <w:autoSpaceDN/>
              <w:bidi w:val="0"/>
              <w:spacing w:after="0" w:line="380" w:lineRule="exact"/>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注：提供以上证书或其他相关证明文件复印件，所有证书需在有效期内</w:t>
            </w:r>
            <w:r>
              <w:rPr>
                <w:rFonts w:hint="eastAsia" w:ascii="宋体" w:hAnsi="宋体" w:cs="宋体"/>
                <w:color w:val="auto"/>
                <w:sz w:val="21"/>
                <w:szCs w:val="21"/>
                <w:highlight w:val="none"/>
                <w:lang w:val="en-US" w:eastAsia="zh-CN"/>
              </w:rPr>
              <w:t>。</w:t>
            </w:r>
          </w:p>
        </w:tc>
      </w:tr>
      <w:tr w14:paraId="2CEB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65" w:hRule="atLeast"/>
          <w:jc w:val="center"/>
        </w:trPr>
        <w:tc>
          <w:tcPr>
            <w:tcW w:w="533" w:type="dxa"/>
            <w:vMerge w:val="restart"/>
            <w:tcBorders>
              <w:top w:val="single" w:color="auto" w:sz="4" w:space="0"/>
              <w:left w:val="single" w:color="auto" w:sz="4" w:space="0"/>
              <w:right w:val="single" w:color="auto" w:sz="4" w:space="0"/>
            </w:tcBorders>
            <w:noWrap w:val="0"/>
            <w:vAlign w:val="center"/>
          </w:tcPr>
          <w:p w14:paraId="75021A2C">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817" w:type="dxa"/>
            <w:vMerge w:val="restart"/>
            <w:tcBorders>
              <w:top w:val="single" w:color="auto" w:sz="4" w:space="0"/>
              <w:left w:val="single" w:color="auto" w:sz="4" w:space="0"/>
              <w:right w:val="single" w:color="auto" w:sz="4" w:space="0"/>
            </w:tcBorders>
            <w:noWrap w:val="0"/>
            <w:vAlign w:val="center"/>
          </w:tcPr>
          <w:p w14:paraId="351A8C7C">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w:t>
            </w:r>
          </w:p>
          <w:p w14:paraId="6C835390">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（75分）</w:t>
            </w:r>
          </w:p>
          <w:p w14:paraId="48D061DF">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p>
        </w:tc>
        <w:tc>
          <w:tcPr>
            <w:tcW w:w="795" w:type="dxa"/>
            <w:tcBorders>
              <w:top w:val="single" w:color="auto" w:sz="4" w:space="0"/>
              <w:left w:val="single" w:color="auto" w:sz="4" w:space="0"/>
              <w:right w:val="single" w:color="auto" w:sz="4" w:space="0"/>
            </w:tcBorders>
            <w:noWrap w:val="0"/>
            <w:vAlign w:val="center"/>
          </w:tcPr>
          <w:p w14:paraId="14818251">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项目团队</w:t>
            </w:r>
          </w:p>
          <w:p w14:paraId="583FB652">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（10分）</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7A265BFC">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w:t>
            </w:r>
            <w:r>
              <w:rPr>
                <w:rFonts w:hint="eastAsia" w:hAnsi="宋体" w:eastAsia="宋体" w:cs="宋体"/>
                <w:bCs/>
                <w:color w:val="auto"/>
                <w:sz w:val="21"/>
                <w:szCs w:val="21"/>
                <w:highlight w:val="none"/>
                <w:lang w:val="en-US" w:eastAsia="zh-CN"/>
              </w:rPr>
              <w:t>供应商针对本项目</w:t>
            </w:r>
            <w:r>
              <w:rPr>
                <w:rFonts w:hint="eastAsia" w:ascii="宋体" w:hAnsi="宋体" w:eastAsia="宋体" w:cs="宋体"/>
                <w:bCs/>
                <w:color w:val="auto"/>
                <w:sz w:val="21"/>
                <w:szCs w:val="21"/>
                <w:highlight w:val="none"/>
                <w:lang w:val="en-US" w:eastAsia="zh-CN"/>
              </w:rPr>
              <w:t>提供的项目团队内容（项目经理不少于2个同类项目经验、团队其他人员不少于1个同类项目经验等方面材料）</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bCs/>
                <w:color w:val="auto"/>
                <w:sz w:val="21"/>
                <w:szCs w:val="21"/>
                <w:highlight w:val="none"/>
                <w:lang w:val="en-US" w:eastAsia="zh-CN"/>
              </w:rPr>
              <w:t>：</w:t>
            </w:r>
          </w:p>
          <w:p w14:paraId="00081568">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一档（1～3分）项目经理具有不少于2个同类项目经验、团队人员有1个同类项目经验</w:t>
            </w:r>
            <w:r>
              <w:rPr>
                <w:rFonts w:hint="eastAsia" w:hAnsi="宋体" w:eastAsia="宋体" w:cs="宋体"/>
                <w:bCs/>
                <w:color w:val="auto"/>
                <w:sz w:val="21"/>
                <w:szCs w:val="21"/>
                <w:highlight w:val="none"/>
                <w:lang w:val="en-US" w:eastAsia="zh-CN"/>
              </w:rPr>
              <w:t>；</w:t>
            </w:r>
          </w:p>
          <w:p w14:paraId="5945C549">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二档（3.1～6分）项目经理具有不少于3个同类项目经验、团队人员有1-2个同类项目经验</w:t>
            </w:r>
            <w:r>
              <w:rPr>
                <w:rFonts w:hint="eastAsia" w:hAnsi="宋体" w:eastAsia="宋体" w:cs="宋体"/>
                <w:bCs/>
                <w:color w:val="auto"/>
                <w:sz w:val="21"/>
                <w:szCs w:val="21"/>
                <w:highlight w:val="none"/>
                <w:lang w:val="en-US" w:eastAsia="zh-CN"/>
              </w:rPr>
              <w:t>；</w:t>
            </w:r>
          </w:p>
          <w:p w14:paraId="4BAAEC56">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三档（6.1～10分）项目经理具有5个及以上同类项目经验，团队人员</w:t>
            </w:r>
            <w:r>
              <w:rPr>
                <w:rFonts w:hint="eastAsia" w:ascii="宋体" w:hAnsi="宋体" w:eastAsia="宋体" w:cs="宋体"/>
                <w:bCs/>
                <w:color w:val="auto"/>
                <w:sz w:val="21"/>
                <w:szCs w:val="21"/>
                <w:highlight w:val="none"/>
                <w:lang w:val="en-US" w:eastAsia="zh-CN"/>
              </w:rPr>
              <w:t>有不少于3个</w:t>
            </w:r>
            <w:r>
              <w:rPr>
                <w:rFonts w:hint="eastAsia" w:ascii="宋体" w:hAnsi="宋体" w:eastAsia="宋体" w:cs="宋体"/>
                <w:color w:val="auto"/>
                <w:sz w:val="21"/>
                <w:szCs w:val="21"/>
                <w:highlight w:val="none"/>
                <w:lang w:val="en-US" w:eastAsia="zh-CN"/>
              </w:rPr>
              <w:t>同类项目经验。</w:t>
            </w:r>
          </w:p>
          <w:p w14:paraId="4E9F7012">
            <w:pPr>
              <w:pStyle w:val="26"/>
              <w:spacing w:line="40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注：①需提供团队人员清单，包含姓名、电话、职务（如项目经理、</w:t>
            </w:r>
            <w:r>
              <w:rPr>
                <w:rFonts w:hint="eastAsia" w:ascii="宋体" w:hAnsi="宋体" w:eastAsia="宋体" w:cs="宋体"/>
                <w:color w:val="auto"/>
                <w:sz w:val="21"/>
                <w:szCs w:val="21"/>
                <w:highlight w:val="none"/>
                <w:lang w:val="en-US"/>
              </w:rPr>
              <w:t>团队</w:t>
            </w:r>
            <w:r>
              <w:rPr>
                <w:rFonts w:hint="eastAsia" w:ascii="宋体" w:hAnsi="宋体" w:eastAsia="宋体" w:cs="宋体"/>
                <w:color w:val="auto"/>
                <w:sz w:val="21"/>
                <w:szCs w:val="21"/>
                <w:highlight w:val="none"/>
              </w:rPr>
              <w:t>人员）、职责等信息</w:t>
            </w:r>
            <w:r>
              <w:rPr>
                <w:rFonts w:hint="eastAsia" w:ascii="宋体" w:hAnsi="宋体" w:eastAsia="宋体" w:cs="宋体"/>
                <w:color w:val="auto"/>
                <w:sz w:val="21"/>
                <w:szCs w:val="21"/>
                <w:highlight w:val="none"/>
                <w:lang w:val="en-US"/>
              </w:rPr>
              <w:t>；②</w:t>
            </w:r>
            <w:r>
              <w:rPr>
                <w:rFonts w:hint="eastAsia" w:ascii="宋体" w:hAnsi="宋体" w:eastAsia="宋体" w:cs="宋体"/>
                <w:color w:val="auto"/>
                <w:szCs w:val="21"/>
                <w:highlight w:val="none"/>
              </w:rPr>
              <w:t>提供证书复印件、所从事过项目的验收报告或用户证明</w:t>
            </w:r>
            <w:r>
              <w:rPr>
                <w:rFonts w:hint="eastAsia" w:ascii="宋体" w:hAnsi="宋体" w:eastAsia="宋体" w:cs="宋体"/>
                <w:color w:val="auto"/>
                <w:szCs w:val="21"/>
                <w:highlight w:val="none"/>
                <w:lang w:val="en-US"/>
              </w:rPr>
              <w:t>；③</w:t>
            </w:r>
            <w:r>
              <w:rPr>
                <w:rFonts w:hint="eastAsia" w:ascii="宋体" w:hAnsi="宋体" w:eastAsia="宋体" w:cs="宋体"/>
                <w:color w:val="auto"/>
                <w:highlight w:val="none"/>
                <w:lang w:val="en-US"/>
              </w:rPr>
              <w:t>由</w:t>
            </w:r>
            <w:r>
              <w:rPr>
                <w:rFonts w:hint="eastAsia" w:hAnsi="宋体" w:eastAsia="宋体" w:cs="宋体"/>
                <w:color w:val="auto"/>
                <w:highlight w:val="none"/>
                <w:lang w:eastAsia="zh-CN"/>
              </w:rPr>
              <w:t>供应商</w:t>
            </w:r>
            <w:r>
              <w:rPr>
                <w:rFonts w:hint="eastAsia" w:ascii="宋体" w:hAnsi="宋体" w:eastAsia="宋体" w:cs="宋体"/>
                <w:color w:val="auto"/>
                <w:highlight w:val="none"/>
                <w:lang w:val="en-US"/>
              </w:rPr>
              <w:t>在</w:t>
            </w:r>
            <w:r>
              <w:rPr>
                <w:rFonts w:hint="eastAsia" w:ascii="宋体" w:hAnsi="宋体" w:eastAsia="宋体" w:cs="宋体"/>
                <w:color w:val="auto"/>
                <w:highlight w:val="none"/>
              </w:rPr>
              <w:t>截</w:t>
            </w:r>
            <w:r>
              <w:rPr>
                <w:rFonts w:hint="eastAsia" w:ascii="宋体" w:hAnsi="宋体" w:eastAsia="宋体" w:cs="宋体"/>
                <w:color w:val="auto"/>
                <w:highlight w:val="none"/>
                <w:lang w:val="en-US"/>
              </w:rPr>
              <w:t>标时间</w:t>
            </w:r>
            <w:r>
              <w:rPr>
                <w:rFonts w:hint="eastAsia" w:ascii="宋体" w:hAnsi="宋体" w:eastAsia="宋体" w:cs="宋体"/>
                <w:color w:val="auto"/>
                <w:highlight w:val="none"/>
              </w:rPr>
              <w:t>前</w:t>
            </w:r>
            <w:r>
              <w:rPr>
                <w:rFonts w:hint="eastAsia" w:ascii="宋体" w:hAnsi="宋体" w:eastAsia="宋体" w:cs="宋体"/>
                <w:color w:val="auto"/>
                <w:highlight w:val="none"/>
                <w:lang w:val="en-US"/>
              </w:rPr>
              <w:t>连续</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个月</w:t>
            </w:r>
            <w:r>
              <w:rPr>
                <w:rFonts w:hint="eastAsia" w:ascii="宋体" w:hAnsi="宋体" w:eastAsia="宋体" w:cs="宋体"/>
                <w:color w:val="auto"/>
                <w:highlight w:val="none"/>
                <w:lang w:val="en-US" w:eastAsia="zh-CN"/>
              </w:rPr>
              <w:t>内任意1个月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highlight w:val="none"/>
                <w:lang w:val="en-US"/>
              </w:rPr>
              <w:t>为其</w:t>
            </w:r>
            <w:r>
              <w:rPr>
                <w:rFonts w:hint="eastAsia" w:ascii="宋体" w:hAnsi="宋体" w:eastAsia="宋体" w:cs="宋体"/>
                <w:color w:val="auto"/>
                <w:highlight w:val="none"/>
              </w:rPr>
              <w:t>缴纳的社保</w:t>
            </w:r>
            <w:r>
              <w:rPr>
                <w:rFonts w:hint="eastAsia" w:ascii="宋体" w:hAnsi="宋体" w:eastAsia="宋体" w:cs="宋体"/>
                <w:color w:val="auto"/>
                <w:highlight w:val="none"/>
                <w:lang w:val="en-US"/>
              </w:rPr>
              <w:t>证明材料</w:t>
            </w:r>
            <w:r>
              <w:rPr>
                <w:rFonts w:hint="eastAsia" w:ascii="宋体" w:hAnsi="宋体" w:eastAsia="宋体" w:cs="宋体"/>
                <w:color w:val="auto"/>
                <w:highlight w:val="none"/>
                <w:lang w:val="en-US" w:eastAsia="zh-CN"/>
              </w:rPr>
              <w:t>复印件</w:t>
            </w:r>
            <w:r>
              <w:rPr>
                <w:rFonts w:hint="eastAsia" w:ascii="宋体" w:hAnsi="宋体" w:eastAsia="宋体" w:cs="宋体"/>
                <w:color w:val="auto"/>
                <w:sz w:val="21"/>
                <w:szCs w:val="21"/>
                <w:highlight w:val="none"/>
                <w:lang w:val="en-US"/>
              </w:rPr>
              <w:t>或劳动合同</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（所有相关材料加盖公章，否则无效）。</w:t>
            </w:r>
            <w:r>
              <w:rPr>
                <w:rFonts w:hint="eastAsia" w:ascii="宋体" w:hAnsi="宋体" w:eastAsia="宋体" w:cs="宋体"/>
                <w:b/>
                <w:bCs/>
                <w:color w:val="auto"/>
                <w:highlight w:val="none"/>
              </w:rPr>
              <w:t>拟投入的项目服务人员须与实际服务人员一致，否则按虚假应标处理。</w:t>
            </w:r>
          </w:p>
        </w:tc>
      </w:tr>
      <w:tr w14:paraId="0D70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33" w:type="dxa"/>
            <w:vMerge w:val="continue"/>
            <w:tcBorders>
              <w:left w:val="single" w:color="auto" w:sz="4" w:space="0"/>
              <w:right w:val="single" w:color="auto" w:sz="4" w:space="0"/>
            </w:tcBorders>
            <w:noWrap w:val="0"/>
            <w:vAlign w:val="center"/>
          </w:tcPr>
          <w:p w14:paraId="2F46C6B9">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p>
        </w:tc>
        <w:tc>
          <w:tcPr>
            <w:tcW w:w="817" w:type="dxa"/>
            <w:vMerge w:val="continue"/>
            <w:tcBorders>
              <w:left w:val="single" w:color="auto" w:sz="4" w:space="0"/>
              <w:right w:val="single" w:color="auto" w:sz="4" w:space="0"/>
            </w:tcBorders>
            <w:noWrap w:val="0"/>
            <w:vAlign w:val="center"/>
          </w:tcPr>
          <w:p w14:paraId="0FDDD7E7">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209D717C">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技术方案及实施方案</w:t>
            </w:r>
          </w:p>
          <w:p w14:paraId="3EB83A69">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50分</w:t>
            </w:r>
            <w:r>
              <w:rPr>
                <w:rFonts w:hint="eastAsia" w:ascii="宋体" w:hAnsi="宋体" w:eastAsia="宋体" w:cs="宋体"/>
                <w:color w:val="auto"/>
                <w:sz w:val="21"/>
                <w:szCs w:val="21"/>
                <w:highlight w:val="none"/>
                <w:lang w:eastAsia="zh-CN"/>
              </w:rPr>
              <w:t>）</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0E3DD923">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cs="宋体"/>
                <w:color w:val="auto"/>
                <w:sz w:val="21"/>
                <w:szCs w:val="21"/>
                <w:highlight w:val="none"/>
                <w:lang w:eastAsia="zh-CN"/>
              </w:rPr>
              <w:t>供应商</w:t>
            </w:r>
            <w:r>
              <w:rPr>
                <w:rFonts w:hint="eastAsia" w:cs="宋体"/>
                <w:color w:val="auto"/>
                <w:sz w:val="21"/>
                <w:szCs w:val="21"/>
                <w:highlight w:val="none"/>
                <w:lang w:val="en-US" w:eastAsia="zh-CN"/>
              </w:rPr>
              <w:t>针对本项目提供</w:t>
            </w:r>
            <w:r>
              <w:rPr>
                <w:rFonts w:hint="eastAsia" w:ascii="宋体" w:hAnsi="宋体" w:eastAsia="宋体" w:cs="宋体"/>
                <w:color w:val="auto"/>
                <w:sz w:val="21"/>
                <w:szCs w:val="21"/>
                <w:highlight w:val="none"/>
              </w:rPr>
              <w:t>的实施方案内容</w:t>
            </w:r>
            <w:r>
              <w:rPr>
                <w:rFonts w:hint="eastAsia" w:cs="宋体"/>
                <w:color w:val="auto"/>
                <w:sz w:val="21"/>
                <w:szCs w:val="21"/>
                <w:highlight w:val="none"/>
                <w:lang w:eastAsia="zh-CN"/>
              </w:rPr>
              <w:t>（</w:t>
            </w:r>
            <w:r>
              <w:rPr>
                <w:rFonts w:hint="eastAsia" w:cs="宋体"/>
                <w:color w:val="auto"/>
                <w:sz w:val="21"/>
                <w:szCs w:val="21"/>
                <w:highlight w:val="none"/>
                <w:lang w:val="en-US" w:eastAsia="zh-CN"/>
              </w:rPr>
              <w:t>包括且不限于</w:t>
            </w:r>
            <w:r>
              <w:rPr>
                <w:rFonts w:hint="eastAsia" w:ascii="宋体" w:hAnsi="宋体" w:eastAsia="宋体" w:cs="宋体"/>
                <w:color w:val="auto"/>
                <w:sz w:val="21"/>
                <w:szCs w:val="21"/>
                <w:highlight w:val="none"/>
              </w:rPr>
              <w:t>实施服务，质量管理，技术培训，项目管理和措施等材料</w:t>
            </w:r>
            <w:r>
              <w:rPr>
                <w:rFonts w:hint="eastAsia" w:cs="宋体"/>
                <w:color w:val="auto"/>
                <w:sz w:val="21"/>
                <w:szCs w:val="21"/>
                <w:highlight w:val="none"/>
                <w:lang w:eastAsia="zh-CN"/>
              </w:rPr>
              <w:t>）</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sz w:val="21"/>
                <w:szCs w:val="21"/>
                <w:highlight w:val="none"/>
              </w:rPr>
              <w:t>：</w:t>
            </w:r>
          </w:p>
          <w:p w14:paraId="01BD70D4">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一档（1～16分）</w:t>
            </w:r>
            <w:r>
              <w:rPr>
                <w:rFonts w:hint="eastAsia" w:ascii="宋体" w:hAnsi="宋体" w:eastAsia="宋体" w:cs="宋体"/>
                <w:bCs/>
                <w:color w:val="auto"/>
                <w:sz w:val="21"/>
                <w:szCs w:val="21"/>
                <w:highlight w:val="none"/>
              </w:rPr>
              <w:t>对实施方案进行着重说明的，但分析不够具体、不全面、方案叙述简单笼统</w:t>
            </w:r>
            <w:r>
              <w:rPr>
                <w:rFonts w:hint="eastAsia" w:ascii="宋体" w:hAnsi="宋体" w:eastAsia="宋体" w:cs="宋体"/>
                <w:bCs/>
                <w:color w:val="auto"/>
                <w:sz w:val="21"/>
                <w:szCs w:val="21"/>
                <w:highlight w:val="none"/>
                <w:lang w:eastAsia="zh-CN"/>
              </w:rPr>
              <w:t>；</w:t>
            </w:r>
          </w:p>
          <w:p w14:paraId="67981F3B">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二档（16.1～33分）</w:t>
            </w:r>
            <w:r>
              <w:rPr>
                <w:rFonts w:hint="eastAsia" w:ascii="宋体" w:hAnsi="宋体" w:eastAsia="宋体" w:cs="宋体"/>
                <w:i w:val="0"/>
                <w:color w:val="auto"/>
                <w:kern w:val="0"/>
                <w:sz w:val="21"/>
                <w:szCs w:val="21"/>
                <w:highlight w:val="none"/>
                <w:u w:val="none"/>
                <w:lang w:val="en-US" w:eastAsia="zh-CN" w:bidi="ar"/>
              </w:rPr>
              <w:t>提供的技术、</w:t>
            </w:r>
            <w:r>
              <w:rPr>
                <w:rFonts w:hint="eastAsia" w:ascii="宋体" w:hAnsi="宋体" w:eastAsia="宋体" w:cs="宋体"/>
                <w:bCs/>
                <w:color w:val="auto"/>
                <w:sz w:val="21"/>
                <w:szCs w:val="21"/>
                <w:highlight w:val="none"/>
              </w:rPr>
              <w:t>实施方案着重说明的，能进行较具体、全面分析，方案基本合理、可行</w:t>
            </w:r>
            <w:r>
              <w:rPr>
                <w:rFonts w:hint="eastAsia" w:hAnsi="宋体" w:eastAsia="宋体" w:cs="宋体"/>
                <w:bCs/>
                <w:color w:val="auto"/>
                <w:sz w:val="21"/>
                <w:szCs w:val="21"/>
                <w:highlight w:val="none"/>
                <w:lang w:eastAsia="zh-CN"/>
              </w:rPr>
              <w:t>，</w:t>
            </w:r>
            <w:r>
              <w:rPr>
                <w:rFonts w:hint="eastAsia" w:hAnsi="宋体" w:eastAsia="宋体" w:cs="宋体"/>
                <w:bCs/>
                <w:color w:val="auto"/>
                <w:sz w:val="21"/>
                <w:szCs w:val="21"/>
                <w:highlight w:val="none"/>
                <w:lang w:val="en-US" w:eastAsia="zh-CN"/>
              </w:rPr>
              <w:t>有针对性；</w:t>
            </w:r>
          </w:p>
          <w:p w14:paraId="4393D70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三档（33.1</w:t>
            </w:r>
            <w:r>
              <w:rPr>
                <w:rFonts w:hint="eastAsia" w:ascii="宋体" w:hAnsi="宋体" w:eastAsia="宋体" w:cs="宋体"/>
                <w:bCs/>
                <w:color w:val="auto"/>
                <w:sz w:val="21"/>
                <w:szCs w:val="21"/>
                <w:highlight w:val="none"/>
                <w:lang w:val="en-US" w:eastAsia="zh-CN"/>
              </w:rPr>
              <w:t>～50分）</w:t>
            </w:r>
            <w:r>
              <w:rPr>
                <w:rFonts w:hint="eastAsia" w:ascii="宋体" w:hAnsi="宋体" w:eastAsia="宋体" w:cs="宋体"/>
                <w:i w:val="0"/>
                <w:color w:val="auto"/>
                <w:kern w:val="0"/>
                <w:sz w:val="21"/>
                <w:szCs w:val="21"/>
                <w:highlight w:val="none"/>
                <w:u w:val="none"/>
                <w:lang w:val="en-US" w:eastAsia="zh-CN" w:bidi="ar"/>
              </w:rPr>
              <w:t>提供的技术、</w:t>
            </w:r>
            <w:r>
              <w:rPr>
                <w:rFonts w:hint="eastAsia" w:ascii="宋体" w:hAnsi="宋体" w:eastAsia="宋体" w:cs="宋体"/>
                <w:bCs/>
                <w:color w:val="auto"/>
                <w:sz w:val="21"/>
                <w:szCs w:val="21"/>
                <w:highlight w:val="none"/>
              </w:rPr>
              <w:t>实施方案着重说明，能进行详细全面的分析，方案合理、可行，有针对性地根据所采用的技术的可行性与优点进行详细分析说明，提供良好的深化设计方案</w:t>
            </w:r>
            <w:r>
              <w:rPr>
                <w:rFonts w:hint="eastAsia" w:ascii="宋体" w:hAnsi="宋体" w:eastAsia="宋体" w:cs="宋体"/>
                <w:i w:val="0"/>
                <w:color w:val="auto"/>
                <w:kern w:val="0"/>
                <w:sz w:val="21"/>
                <w:szCs w:val="21"/>
                <w:highlight w:val="none"/>
                <w:u w:val="none"/>
                <w:lang w:val="en-US" w:eastAsia="zh-CN" w:bidi="ar"/>
              </w:rPr>
              <w:t>，针对性强和操作性强</w:t>
            </w:r>
            <w:r>
              <w:rPr>
                <w:rFonts w:hint="eastAsia" w:ascii="宋体" w:hAnsi="宋体" w:eastAsia="宋体" w:cs="宋体"/>
                <w:bCs/>
                <w:color w:val="auto"/>
                <w:sz w:val="21"/>
                <w:szCs w:val="21"/>
                <w:highlight w:val="none"/>
                <w:lang w:eastAsia="zh-CN"/>
              </w:rPr>
              <w:t>。</w:t>
            </w:r>
          </w:p>
        </w:tc>
      </w:tr>
      <w:tr w14:paraId="1F7E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533" w:type="dxa"/>
            <w:vMerge w:val="continue"/>
            <w:tcBorders>
              <w:left w:val="single" w:color="auto" w:sz="4" w:space="0"/>
              <w:bottom w:val="single" w:color="auto" w:sz="4" w:space="0"/>
              <w:right w:val="single" w:color="auto" w:sz="4" w:space="0"/>
            </w:tcBorders>
            <w:noWrap w:val="0"/>
            <w:vAlign w:val="center"/>
          </w:tcPr>
          <w:p w14:paraId="67B438A5">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p>
        </w:tc>
        <w:tc>
          <w:tcPr>
            <w:tcW w:w="817" w:type="dxa"/>
            <w:vMerge w:val="continue"/>
            <w:tcBorders>
              <w:left w:val="single" w:color="auto" w:sz="4" w:space="0"/>
              <w:bottom w:val="single" w:color="auto" w:sz="4" w:space="0"/>
              <w:right w:val="single" w:color="auto" w:sz="4" w:space="0"/>
            </w:tcBorders>
            <w:noWrap w:val="0"/>
            <w:vAlign w:val="center"/>
          </w:tcPr>
          <w:p w14:paraId="01A3300E">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rPr>
            </w:pPr>
          </w:p>
        </w:tc>
        <w:tc>
          <w:tcPr>
            <w:tcW w:w="795" w:type="dxa"/>
            <w:tcBorders>
              <w:top w:val="single" w:color="auto" w:sz="4" w:space="0"/>
              <w:left w:val="single" w:color="auto" w:sz="4" w:space="0"/>
              <w:bottom w:val="single" w:color="auto" w:sz="4" w:space="0"/>
              <w:right w:val="single" w:color="auto" w:sz="4" w:space="0"/>
            </w:tcBorders>
            <w:noWrap w:val="0"/>
            <w:vAlign w:val="center"/>
          </w:tcPr>
          <w:p w14:paraId="089DABF8">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售后服务</w:t>
            </w:r>
          </w:p>
          <w:p w14:paraId="5CF4B8AB">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（15分）</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059B9322">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cs="宋体"/>
                <w:color w:val="auto"/>
                <w:sz w:val="21"/>
                <w:szCs w:val="21"/>
                <w:highlight w:val="none"/>
                <w:lang w:eastAsia="zh-CN"/>
              </w:rPr>
              <w:t>供应商</w:t>
            </w:r>
            <w:r>
              <w:rPr>
                <w:rFonts w:hint="eastAsia" w:cs="宋体"/>
                <w:color w:val="auto"/>
                <w:sz w:val="21"/>
                <w:szCs w:val="21"/>
                <w:highlight w:val="none"/>
                <w:lang w:val="en-US" w:eastAsia="zh-CN"/>
              </w:rPr>
              <w:t>针对本项目</w:t>
            </w:r>
            <w:r>
              <w:rPr>
                <w:rFonts w:hint="eastAsia" w:ascii="宋体" w:hAnsi="宋体" w:eastAsia="宋体" w:cs="宋体"/>
                <w:color w:val="auto"/>
                <w:sz w:val="21"/>
                <w:szCs w:val="21"/>
                <w:highlight w:val="none"/>
              </w:rPr>
              <w:t>提供的售后服务方案（包括</w:t>
            </w:r>
            <w:r>
              <w:rPr>
                <w:rFonts w:hint="eastAsia" w:cs="宋体"/>
                <w:color w:val="auto"/>
                <w:sz w:val="21"/>
                <w:szCs w:val="21"/>
                <w:highlight w:val="none"/>
                <w:lang w:val="en-US" w:eastAsia="zh-CN"/>
              </w:rPr>
              <w:t>且</w:t>
            </w:r>
            <w:r>
              <w:rPr>
                <w:rFonts w:hint="eastAsia" w:ascii="宋体" w:hAnsi="宋体" w:eastAsia="宋体" w:cs="宋体"/>
                <w:color w:val="auto"/>
                <w:sz w:val="21"/>
                <w:szCs w:val="21"/>
                <w:highlight w:val="none"/>
              </w:rPr>
              <w:t>不限于售后方案及培训方案、项目验收后工程师经历情况及驻场服务方案、免费维保期后可提供的后续维保优惠条件及方案及其他相关增量服务优惠条件等）</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sz w:val="21"/>
                <w:szCs w:val="21"/>
                <w:highlight w:val="none"/>
              </w:rPr>
              <w:t>：</w:t>
            </w:r>
          </w:p>
          <w:p w14:paraId="1570819B">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一档（1～5分</w:t>
            </w:r>
            <w:r>
              <w:rPr>
                <w:rFonts w:hint="eastAsia"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val="en-US" w:eastAsia="zh-CN"/>
              </w:rPr>
              <w:t>提供的</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可</w:t>
            </w:r>
            <w:r>
              <w:rPr>
                <w:rFonts w:hint="eastAsia" w:ascii="宋体" w:hAnsi="宋体" w:eastAsia="宋体" w:cs="宋体"/>
                <w:color w:val="auto"/>
                <w:sz w:val="21"/>
                <w:szCs w:val="21"/>
                <w:highlight w:val="none"/>
                <w:lang w:val="en-US" w:eastAsia="zh-CN"/>
              </w:rPr>
              <w:t>行，</w:t>
            </w:r>
            <w:r>
              <w:rPr>
                <w:rFonts w:hint="eastAsia" w:hAnsi="宋体" w:eastAsia="宋体" w:cs="宋体"/>
                <w:color w:val="auto"/>
                <w:sz w:val="21"/>
                <w:szCs w:val="21"/>
                <w:highlight w:val="none"/>
                <w:lang w:val="en-US" w:eastAsia="zh-CN"/>
              </w:rPr>
              <w:t>售后</w:t>
            </w:r>
            <w:r>
              <w:rPr>
                <w:rFonts w:hint="eastAsia" w:ascii="宋体" w:hAnsi="宋体" w:eastAsia="宋体" w:cs="宋体"/>
                <w:color w:val="auto"/>
                <w:sz w:val="21"/>
                <w:szCs w:val="21"/>
                <w:highlight w:val="none"/>
                <w:lang w:val="en-US" w:eastAsia="zh-CN"/>
              </w:rPr>
              <w:t>服务内容基本符合本项目需求</w:t>
            </w:r>
            <w:r>
              <w:rPr>
                <w:rFonts w:hint="eastAsia" w:ascii="宋体" w:hAnsi="宋体" w:eastAsia="宋体" w:cs="宋体"/>
                <w:color w:val="auto"/>
                <w:sz w:val="21"/>
                <w:szCs w:val="21"/>
                <w:highlight w:val="none"/>
                <w:lang w:eastAsia="zh-CN"/>
              </w:rPr>
              <w:t>；</w:t>
            </w:r>
          </w:p>
          <w:p w14:paraId="65DDEF1C">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二档（5.1～10分） 在满足一档的基础上，</w:t>
            </w:r>
            <w:r>
              <w:rPr>
                <w:rFonts w:hint="eastAsia" w:hAnsi="宋体" w:eastAsia="宋体" w:cs="宋体"/>
                <w:bCs/>
                <w:color w:val="auto"/>
                <w:sz w:val="21"/>
                <w:szCs w:val="21"/>
                <w:highlight w:val="none"/>
                <w:lang w:val="en-US" w:eastAsia="zh-CN"/>
              </w:rPr>
              <w:t>售后</w:t>
            </w:r>
            <w:r>
              <w:rPr>
                <w:rFonts w:hint="eastAsia" w:ascii="宋体" w:hAnsi="宋体" w:eastAsia="宋体" w:cs="宋体"/>
                <w:bCs/>
                <w:color w:val="auto"/>
                <w:sz w:val="21"/>
                <w:szCs w:val="21"/>
                <w:highlight w:val="none"/>
                <w:lang w:val="en-US" w:eastAsia="zh-CN"/>
              </w:rPr>
              <w:t>服务要求对本项目具</w:t>
            </w:r>
            <w:r>
              <w:rPr>
                <w:rFonts w:hint="eastAsia" w:hAnsi="宋体" w:eastAsia="宋体" w:cs="宋体"/>
                <w:bCs/>
                <w:color w:val="auto"/>
                <w:sz w:val="21"/>
                <w:szCs w:val="21"/>
                <w:highlight w:val="none"/>
                <w:lang w:val="en-US" w:eastAsia="zh-CN"/>
              </w:rPr>
              <w:t>有</w:t>
            </w:r>
            <w:r>
              <w:rPr>
                <w:rFonts w:hint="eastAsia" w:ascii="宋体" w:hAnsi="宋体" w:eastAsia="宋体" w:cs="宋体"/>
                <w:bCs/>
                <w:color w:val="auto"/>
                <w:sz w:val="21"/>
                <w:szCs w:val="21"/>
                <w:highlight w:val="none"/>
                <w:lang w:val="en-US" w:eastAsia="zh-CN"/>
              </w:rPr>
              <w:t>针对性</w:t>
            </w:r>
            <w:r>
              <w:rPr>
                <w:rFonts w:hint="eastAsia" w:hAnsi="宋体" w:eastAsia="宋体" w:cs="宋体"/>
                <w:bCs/>
                <w:color w:val="auto"/>
                <w:sz w:val="21"/>
                <w:szCs w:val="21"/>
                <w:highlight w:val="none"/>
                <w:lang w:val="en-US" w:eastAsia="zh-CN"/>
              </w:rPr>
              <w:t>，有详细的培训计划</w:t>
            </w:r>
            <w:r>
              <w:rPr>
                <w:rFonts w:hint="eastAsia" w:ascii="宋体" w:hAnsi="宋体" w:eastAsia="宋体" w:cs="宋体"/>
                <w:color w:val="auto"/>
                <w:sz w:val="21"/>
                <w:szCs w:val="21"/>
                <w:highlight w:val="none"/>
                <w:lang w:eastAsia="zh-CN"/>
              </w:rPr>
              <w:t>；</w:t>
            </w:r>
          </w:p>
          <w:p w14:paraId="7348D539">
            <w:pPr>
              <w:pStyle w:val="26"/>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三档（10.1～15分）在满足二档的基础上，</w:t>
            </w:r>
            <w:r>
              <w:rPr>
                <w:rFonts w:hint="eastAsia" w:ascii="宋体" w:hAnsi="宋体" w:eastAsia="宋体" w:cs="宋体"/>
                <w:bCs/>
                <w:color w:val="auto"/>
                <w:sz w:val="21"/>
                <w:szCs w:val="21"/>
                <w:highlight w:val="none"/>
              </w:rPr>
              <w:t>对方案着重说明，方案合理、可行，</w:t>
            </w:r>
            <w:r>
              <w:rPr>
                <w:rFonts w:hint="eastAsia" w:ascii="宋体" w:hAnsi="宋体" w:eastAsia="宋体" w:cs="宋体"/>
                <w:bCs/>
                <w:color w:val="auto"/>
                <w:sz w:val="21"/>
                <w:szCs w:val="21"/>
                <w:highlight w:val="none"/>
                <w:lang w:val="en-US" w:eastAsia="zh-CN"/>
              </w:rPr>
              <w:t>内容全面，针对性强、可操作性强</w:t>
            </w:r>
            <w:r>
              <w:rPr>
                <w:rFonts w:hint="eastAsia" w:ascii="宋体" w:hAnsi="宋体" w:eastAsia="宋体" w:cs="宋体"/>
                <w:color w:val="auto"/>
                <w:sz w:val="21"/>
                <w:szCs w:val="21"/>
                <w:highlight w:val="none"/>
                <w:lang w:eastAsia="zh-CN"/>
              </w:rPr>
              <w:t>。</w:t>
            </w:r>
          </w:p>
        </w:tc>
      </w:tr>
      <w:tr w14:paraId="1550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9" w:hRule="atLeast"/>
          <w:jc w:val="center"/>
        </w:trPr>
        <w:tc>
          <w:tcPr>
            <w:tcW w:w="533" w:type="dxa"/>
            <w:vMerge w:val="restart"/>
            <w:tcBorders>
              <w:left w:val="single" w:color="auto" w:sz="4" w:space="0"/>
              <w:right w:val="single" w:color="auto" w:sz="4" w:space="0"/>
            </w:tcBorders>
            <w:noWrap w:val="0"/>
            <w:vAlign w:val="center"/>
          </w:tcPr>
          <w:p w14:paraId="0EA585E4">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3</w:t>
            </w:r>
          </w:p>
        </w:tc>
        <w:tc>
          <w:tcPr>
            <w:tcW w:w="1612" w:type="dxa"/>
            <w:gridSpan w:val="2"/>
            <w:vMerge w:val="restart"/>
            <w:tcBorders>
              <w:left w:val="single" w:color="auto" w:sz="4" w:space="0"/>
              <w:right w:val="single" w:color="auto" w:sz="4" w:space="0"/>
            </w:tcBorders>
            <w:noWrap w:val="0"/>
            <w:vAlign w:val="center"/>
          </w:tcPr>
          <w:p w14:paraId="3399EF0D">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价格</w:t>
            </w:r>
          </w:p>
          <w:p w14:paraId="53193631">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default" w:ascii="宋体" w:hAnsi="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（15分）</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0BD030C0">
            <w:pPr>
              <w:pStyle w:val="26"/>
              <w:spacing w:line="380" w:lineRule="exact"/>
              <w:rPr>
                <w:rFonts w:hint="default"/>
                <w:color w:val="auto"/>
                <w:highlight w:val="none"/>
                <w:lang w:val="en-US"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p w14:paraId="728899F5">
            <w:pPr>
              <w:pStyle w:val="26"/>
              <w:keepNext w:val="0"/>
              <w:keepLines w:val="0"/>
              <w:pageBreakBefore w:val="0"/>
              <w:widowControl w:val="0"/>
              <w:kinsoku/>
              <w:wordWrap/>
              <w:overflowPunct/>
              <w:topLinePunct w:val="0"/>
              <w:autoSpaceDE/>
              <w:autoSpaceDN/>
              <w:bidi w:val="0"/>
              <w:adjustRightInd/>
              <w:snapToGrid/>
              <w:spacing w:after="0"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最终磋商报价最低的作为评标基准价其价格分为</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分。其它</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的应标价格得分按以下公式计算：</w:t>
            </w:r>
          </w:p>
          <w:p w14:paraId="53E36976">
            <w:pPr>
              <w:pStyle w:val="26"/>
              <w:spacing w:line="380" w:lineRule="exact"/>
              <w:ind w:left="0" w:leftChars="0" w:firstLineChars="0"/>
              <w:rPr>
                <w:rFonts w:hint="eastAsia"/>
                <w:color w:val="auto"/>
                <w:highlight w:val="none"/>
                <w:lang w:val="en-US" w:eastAsia="zh-CN"/>
              </w:rPr>
            </w:pPr>
            <w:r>
              <w:rPr>
                <w:rFonts w:hint="eastAsia" w:ascii="宋体" w:hAnsi="宋体" w:eastAsia="宋体" w:cs="宋体"/>
                <w:color w:val="auto"/>
                <w:sz w:val="21"/>
                <w:szCs w:val="21"/>
                <w:highlight w:val="none"/>
              </w:rPr>
              <w:t xml:space="preserve">其它应标价得分=（评标基准价÷应标价）× </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r>
              <w:rPr>
                <w:rFonts w:hint="eastAsia" w:hAnsi="宋体" w:eastAsia="宋体" w:cs="宋体"/>
                <w:color w:val="auto"/>
                <w:sz w:val="21"/>
                <w:szCs w:val="21"/>
                <w:highlight w:val="none"/>
                <w:lang w:eastAsia="zh-CN"/>
              </w:rPr>
              <w:t>。</w:t>
            </w:r>
          </w:p>
        </w:tc>
      </w:tr>
      <w:tr w14:paraId="2B21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533" w:type="dxa"/>
            <w:vMerge w:val="continue"/>
            <w:tcBorders>
              <w:left w:val="single" w:color="auto" w:sz="4" w:space="0"/>
              <w:bottom w:val="single" w:color="auto" w:sz="4" w:space="0"/>
              <w:right w:val="single" w:color="auto" w:sz="4" w:space="0"/>
            </w:tcBorders>
            <w:noWrap w:val="0"/>
            <w:vAlign w:val="center"/>
          </w:tcPr>
          <w:p w14:paraId="1A6C20CD">
            <w:pPr>
              <w:pStyle w:val="12"/>
              <w:ind w:left="0" w:leftChars="0" w:firstLine="0" w:firstLineChars="0"/>
              <w:rPr>
                <w:color w:val="auto"/>
                <w:highlight w:val="none"/>
              </w:rPr>
            </w:pPr>
          </w:p>
        </w:tc>
        <w:tc>
          <w:tcPr>
            <w:tcW w:w="1612" w:type="dxa"/>
            <w:gridSpan w:val="2"/>
            <w:vMerge w:val="continue"/>
            <w:tcBorders>
              <w:left w:val="single" w:color="auto" w:sz="4" w:space="0"/>
              <w:bottom w:val="single" w:color="auto" w:sz="4" w:space="0"/>
              <w:right w:val="single" w:color="auto" w:sz="4" w:space="0"/>
            </w:tcBorders>
            <w:noWrap w:val="0"/>
            <w:vAlign w:val="center"/>
          </w:tcPr>
          <w:p w14:paraId="539FE067">
            <w:pPr>
              <w:pStyle w:val="12"/>
              <w:ind w:left="0" w:leftChars="0" w:firstLine="0" w:firstLineChars="0"/>
              <w:rPr>
                <w:color w:val="auto"/>
                <w:highlight w:val="none"/>
              </w:rPr>
            </w:pPr>
          </w:p>
        </w:tc>
        <w:tc>
          <w:tcPr>
            <w:tcW w:w="7182" w:type="dxa"/>
            <w:tcBorders>
              <w:top w:val="single" w:color="auto" w:sz="4" w:space="0"/>
              <w:left w:val="single" w:color="auto" w:sz="4" w:space="0"/>
              <w:bottom w:val="single" w:color="auto" w:sz="4" w:space="0"/>
              <w:right w:val="single" w:color="auto" w:sz="4" w:space="0"/>
            </w:tcBorders>
            <w:noWrap w:val="0"/>
            <w:vAlign w:val="center"/>
          </w:tcPr>
          <w:p w14:paraId="43712C94">
            <w:pPr>
              <w:pStyle w:val="12"/>
              <w:ind w:left="0" w:leftChars="0" w:firstLine="0" w:firstLineChars="0"/>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维保（5分）：免费维保期满后维保费率10%及以上不得分，在此基础上，每降低1%得1分，满分5分。</w:t>
            </w:r>
          </w:p>
        </w:tc>
      </w:tr>
      <w:tr w14:paraId="118A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12D73FF8">
            <w:pPr>
              <w:pStyle w:val="14"/>
              <w:keepNext w:val="0"/>
              <w:keepLines w:val="0"/>
              <w:pageBreakBefore w:val="0"/>
              <w:kinsoku/>
              <w:wordWrap/>
              <w:overflowPunct/>
              <w:topLinePunct w:val="0"/>
              <w:autoSpaceDE/>
              <w:autoSpaceDN/>
              <w:bidi w:val="0"/>
              <w:adjustRightInd/>
              <w:snapToGrid/>
              <w:spacing w:line="380" w:lineRule="exact"/>
              <w:ind w:firstLine="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综合评审得分</w:t>
            </w:r>
          </w:p>
        </w:tc>
        <w:tc>
          <w:tcPr>
            <w:tcW w:w="7182" w:type="dxa"/>
            <w:tcBorders>
              <w:top w:val="single" w:color="auto" w:sz="4" w:space="0"/>
              <w:left w:val="single" w:color="auto" w:sz="4" w:space="0"/>
              <w:bottom w:val="single" w:color="auto" w:sz="4" w:space="0"/>
              <w:right w:val="single" w:color="auto" w:sz="4" w:space="0"/>
            </w:tcBorders>
            <w:noWrap w:val="0"/>
            <w:vAlign w:val="center"/>
          </w:tcPr>
          <w:p w14:paraId="62057740">
            <w:pPr>
              <w:pStyle w:val="26"/>
              <w:keepNext w:val="0"/>
              <w:keepLines w:val="0"/>
              <w:pageBreakBefore w:val="0"/>
              <w:kinsoku/>
              <w:wordWrap/>
              <w:overflowPunct/>
              <w:topLinePunct w:val="0"/>
              <w:autoSpaceDE/>
              <w:autoSpaceDN/>
              <w:bidi w:val="0"/>
              <w:adjustRightInd/>
              <w:snapToGrid/>
              <w:spacing w:line="380" w:lineRule="exact"/>
              <w:ind w:firstLine="0" w:firstLineChars="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商务＋技术</w:t>
            </w:r>
            <w:r>
              <w:rPr>
                <w:rFonts w:hint="eastAsia" w:hAnsi="宋体" w:eastAsia="宋体" w:cs="宋体"/>
                <w:b/>
                <w:bCs/>
                <w:color w:val="auto"/>
                <w:sz w:val="21"/>
                <w:szCs w:val="21"/>
                <w:highlight w:val="none"/>
                <w:lang w:val="en-US" w:eastAsia="zh-CN"/>
              </w:rPr>
              <w:t>＋价格</w:t>
            </w:r>
          </w:p>
        </w:tc>
      </w:tr>
    </w:tbl>
    <w:p w14:paraId="22DC44F2">
      <w:pPr>
        <w:rPr>
          <w:color w:val="auto"/>
          <w:highlight w:val="none"/>
        </w:rPr>
      </w:pPr>
    </w:p>
    <w:p w14:paraId="071466AD">
      <w:pPr>
        <w:rPr>
          <w:color w:val="auto"/>
          <w:highlight w:val="none"/>
        </w:rPr>
      </w:pPr>
    </w:p>
    <w:p w14:paraId="4425112A">
      <w:pPr>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9A383A3">
      <w:pPr>
        <w:rPr>
          <w:color w:val="auto"/>
          <w:highlight w:val="none"/>
        </w:rPr>
      </w:pPr>
    </w:p>
    <w:p w14:paraId="41E8E919">
      <w:pPr>
        <w:pStyle w:val="2"/>
        <w:jc w:val="center"/>
        <w:rPr>
          <w:color w:val="auto"/>
          <w:sz w:val="32"/>
          <w:szCs w:val="32"/>
          <w:highlight w:val="none"/>
        </w:rPr>
      </w:pPr>
    </w:p>
    <w:p w14:paraId="1EFFE3C5">
      <w:pPr>
        <w:rPr>
          <w:color w:val="auto"/>
          <w:sz w:val="32"/>
          <w:szCs w:val="32"/>
          <w:highlight w:val="none"/>
        </w:rPr>
      </w:pPr>
    </w:p>
    <w:p w14:paraId="17C6DB6D">
      <w:pPr>
        <w:pStyle w:val="20"/>
        <w:rPr>
          <w:color w:val="auto"/>
          <w:highlight w:val="none"/>
        </w:rPr>
      </w:pPr>
    </w:p>
    <w:p w14:paraId="6B130916">
      <w:pPr>
        <w:pStyle w:val="2"/>
        <w:jc w:val="center"/>
        <w:rPr>
          <w:color w:val="auto"/>
          <w:sz w:val="32"/>
          <w:szCs w:val="32"/>
          <w:highlight w:val="none"/>
        </w:rPr>
      </w:pPr>
      <w:bookmarkStart w:id="270" w:name="_Toc29678"/>
      <w:bookmarkStart w:id="271" w:name="_Toc31019"/>
      <w:bookmarkStart w:id="272" w:name="_Toc4158"/>
      <w:bookmarkStart w:id="273" w:name="_Toc21044"/>
      <w:bookmarkStart w:id="274" w:name="_Toc359"/>
      <w:bookmarkStart w:id="275" w:name="_Toc17176"/>
      <w:bookmarkStart w:id="276" w:name="_Toc20297"/>
      <w:bookmarkStart w:id="277" w:name="_Toc980"/>
      <w:bookmarkStart w:id="278" w:name="_Toc273"/>
      <w:bookmarkStart w:id="279" w:name="_Toc2598"/>
      <w:bookmarkStart w:id="280" w:name="_Toc20094"/>
      <w:bookmarkStart w:id="281" w:name="_Toc31696"/>
      <w:bookmarkStart w:id="282" w:name="_Toc19760"/>
      <w:r>
        <w:rPr>
          <w:color w:val="auto"/>
          <w:sz w:val="32"/>
          <w:szCs w:val="32"/>
          <w:highlight w:val="none"/>
        </w:rPr>
        <w:t>第五章  合同主要条款格式</w:t>
      </w:r>
      <w:bookmarkEnd w:id="247"/>
      <w:bookmarkEnd w:id="248"/>
      <w:bookmarkEnd w:id="249"/>
      <w:bookmarkEnd w:id="25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CFDA2EC">
      <w:pPr>
        <w:snapToGrid w:val="0"/>
        <w:spacing w:line="400" w:lineRule="exact"/>
        <w:ind w:firstLine="3520" w:firstLineChars="1100"/>
        <w:jc w:val="left"/>
        <w:rPr>
          <w:color w:val="auto"/>
          <w:sz w:val="32"/>
          <w:szCs w:val="32"/>
          <w:highlight w:val="none"/>
        </w:rPr>
      </w:pPr>
    </w:p>
    <w:p w14:paraId="1A446664">
      <w:pPr>
        <w:pStyle w:val="20"/>
        <w:kinsoku w:val="0"/>
        <w:overflowPunct w:val="0"/>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合同协议书、合同总条款及附件</w:t>
      </w:r>
    </w:p>
    <w:p w14:paraId="056BC686">
      <w:pPr>
        <w:jc w:val="center"/>
        <w:rPr>
          <w:color w:val="auto"/>
          <w:highlight w:val="none"/>
        </w:rPr>
      </w:pPr>
      <w:r>
        <w:rPr>
          <w:rFonts w:hint="eastAsia" w:asciiTheme="minorEastAsia" w:hAnsiTheme="minorEastAsia" w:eastAsiaTheme="minorEastAsia" w:cstheme="minorEastAsia"/>
          <w:b/>
          <w:bCs/>
          <w:color w:val="auto"/>
          <w:sz w:val="32"/>
          <w:szCs w:val="32"/>
          <w:highlight w:val="none"/>
        </w:rPr>
        <w:t>（本采购合同由采购人与</w:t>
      </w:r>
      <w:r>
        <w:rPr>
          <w:rFonts w:hint="eastAsia" w:asciiTheme="minorEastAsia" w:hAnsiTheme="minorEastAsia" w:eastAsiaTheme="minorEastAsia" w:cstheme="minorEastAsia"/>
          <w:b/>
          <w:bCs/>
          <w:color w:val="auto"/>
          <w:sz w:val="32"/>
          <w:szCs w:val="32"/>
          <w:highlight w:val="none"/>
          <w:lang w:val="en-US" w:eastAsia="zh-CN"/>
        </w:rPr>
        <w:t>成交</w:t>
      </w:r>
      <w:r>
        <w:rPr>
          <w:rFonts w:hint="eastAsia" w:asciiTheme="minorEastAsia" w:hAnsiTheme="minorEastAsia" w:eastAsiaTheme="minorEastAsia" w:cstheme="minorEastAsia"/>
          <w:b/>
          <w:bCs/>
          <w:color w:val="auto"/>
          <w:sz w:val="32"/>
          <w:szCs w:val="32"/>
          <w:highlight w:val="none"/>
        </w:rPr>
        <w:t>供应商按照采购和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文件协商签订，签订的合同实质性条款不得与采购文件和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文件相违背）</w:t>
      </w:r>
    </w:p>
    <w:p w14:paraId="0650A85E">
      <w:pPr>
        <w:spacing w:line="360" w:lineRule="exact"/>
        <w:ind w:firstLine="480" w:firstLineChars="200"/>
        <w:rPr>
          <w:rFonts w:ascii="宋体" w:hAnsi="宋体"/>
          <w:color w:val="auto"/>
          <w:sz w:val="24"/>
          <w:highlight w:val="none"/>
        </w:rPr>
      </w:pPr>
    </w:p>
    <w:p w14:paraId="09AA5751">
      <w:pPr>
        <w:pStyle w:val="41"/>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3BC0D10">
      <w:pPr>
        <w:pStyle w:val="2"/>
        <w:jc w:val="center"/>
        <w:rPr>
          <w:bCs w:val="0"/>
          <w:color w:val="auto"/>
          <w:szCs w:val="24"/>
          <w:highlight w:val="none"/>
        </w:rPr>
      </w:pPr>
      <w:bookmarkStart w:id="283" w:name="_Toc9251"/>
      <w:bookmarkStart w:id="284" w:name="_Toc1038"/>
      <w:bookmarkStart w:id="285" w:name="_Toc4755"/>
      <w:bookmarkStart w:id="286" w:name="_Toc18601"/>
      <w:bookmarkStart w:id="287" w:name="_Toc24503"/>
      <w:bookmarkStart w:id="288" w:name="_Toc4308"/>
      <w:bookmarkStart w:id="289" w:name="_Toc13735"/>
      <w:bookmarkStart w:id="290" w:name="_Toc14092"/>
      <w:bookmarkStart w:id="291" w:name="_Toc31663"/>
      <w:bookmarkStart w:id="292" w:name="_Toc22934"/>
      <w:bookmarkStart w:id="293" w:name="_Toc17961"/>
      <w:bookmarkStart w:id="294" w:name="_Toc25398"/>
      <w:bookmarkStart w:id="295" w:name="_Toc315"/>
      <w:bookmarkStart w:id="296" w:name="_Toc23028"/>
      <w:bookmarkStart w:id="297" w:name="_Toc8818"/>
      <w:bookmarkStart w:id="298" w:name="_Toc9539"/>
      <w:bookmarkStart w:id="299" w:name="_Toc32367"/>
      <w:bookmarkStart w:id="300" w:name="_Toc31154"/>
      <w:bookmarkStart w:id="301" w:name="_Toc14835"/>
      <w:bookmarkStart w:id="302" w:name="_Toc14631"/>
      <w:bookmarkStart w:id="303" w:name="_Toc25702"/>
      <w:bookmarkStart w:id="304" w:name="_Toc30065"/>
      <w:bookmarkStart w:id="305" w:name="_Toc10261"/>
      <w:bookmarkStart w:id="306" w:name="_Toc9517"/>
      <w:bookmarkStart w:id="307" w:name="_Toc12383"/>
      <w:bookmarkStart w:id="308" w:name="_Toc4583"/>
      <w:r>
        <w:rPr>
          <w:color w:val="auto"/>
          <w:sz w:val="32"/>
          <w:szCs w:val="32"/>
          <w:highlight w:val="none"/>
        </w:rPr>
        <w:t>第六章  响应文件格式</w:t>
      </w:r>
      <w:bookmarkEnd w:id="132"/>
      <w:bookmarkEnd w:id="133"/>
      <w:bookmarkEnd w:id="134"/>
      <w:bookmarkEnd w:id="135"/>
      <w:bookmarkEnd w:id="136"/>
      <w:bookmarkEnd w:id="137"/>
      <w:bookmarkEnd w:id="138"/>
      <w:bookmarkEnd w:id="139"/>
      <w:bookmarkEnd w:id="140"/>
      <w:bookmarkEnd w:id="141"/>
      <w:bookmarkEnd w:id="142"/>
      <w:bookmarkEnd w:id="251"/>
      <w:bookmarkEnd w:id="252"/>
      <w:bookmarkEnd w:id="253"/>
      <w:bookmarkEnd w:id="254"/>
      <w:bookmarkEnd w:id="255"/>
      <w:bookmarkEnd w:id="256"/>
      <w:bookmarkEnd w:id="257"/>
      <w:bookmarkEnd w:id="258"/>
      <w:bookmarkEnd w:id="259"/>
      <w:bookmarkEnd w:id="260"/>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bCs w:val="0"/>
          <w:color w:val="auto"/>
          <w:szCs w:val="24"/>
          <w:highlight w:val="none"/>
        </w:rPr>
        <w:t xml:space="preserve">                  </w:t>
      </w:r>
    </w:p>
    <w:p w14:paraId="69A3CE1D">
      <w:pPr>
        <w:rPr>
          <w:b/>
          <w:color w:val="auto"/>
          <w:sz w:val="24"/>
          <w:highlight w:val="none"/>
        </w:rPr>
      </w:pPr>
      <w:r>
        <w:rPr>
          <w:b/>
          <w:color w:val="auto"/>
          <w:sz w:val="24"/>
          <w:highlight w:val="none"/>
        </w:rPr>
        <w:t xml:space="preserve">响应文件封面格式： </w:t>
      </w:r>
    </w:p>
    <w:p w14:paraId="0172582B">
      <w:pPr>
        <w:snapToGrid w:val="0"/>
        <w:spacing w:before="156" w:beforeLines="50" w:after="50" w:line="360" w:lineRule="exact"/>
        <w:rPr>
          <w:color w:val="auto"/>
          <w:sz w:val="24"/>
          <w:highlight w:val="none"/>
        </w:rPr>
      </w:pPr>
    </w:p>
    <w:p w14:paraId="48A3D99B">
      <w:pPr>
        <w:snapToGrid w:val="0"/>
        <w:spacing w:before="156" w:beforeLines="50" w:after="50" w:line="360" w:lineRule="exact"/>
        <w:jc w:val="right"/>
        <w:rPr>
          <w:bCs/>
          <w:color w:val="auto"/>
          <w:sz w:val="24"/>
          <w:highlight w:val="none"/>
        </w:rPr>
      </w:pPr>
      <w:r>
        <w:rPr>
          <w:b/>
          <w:color w:val="auto"/>
          <w:sz w:val="24"/>
          <w:highlight w:val="none"/>
        </w:rPr>
        <w:t>正本</w:t>
      </w:r>
    </w:p>
    <w:p w14:paraId="00CD6AC7">
      <w:pPr>
        <w:snapToGrid w:val="0"/>
        <w:spacing w:before="156" w:beforeLines="50" w:after="50" w:line="360" w:lineRule="exact"/>
        <w:jc w:val="center"/>
        <w:rPr>
          <w:bCs/>
          <w:color w:val="auto"/>
          <w:sz w:val="24"/>
          <w:highlight w:val="none"/>
        </w:rPr>
      </w:pPr>
    </w:p>
    <w:p w14:paraId="21E327E2">
      <w:pPr>
        <w:snapToGrid w:val="0"/>
        <w:spacing w:before="156" w:beforeLines="50" w:after="50" w:line="360" w:lineRule="exact"/>
        <w:jc w:val="center"/>
        <w:rPr>
          <w:b/>
          <w:bCs/>
          <w:color w:val="auto"/>
          <w:sz w:val="44"/>
          <w:szCs w:val="44"/>
          <w:highlight w:val="none"/>
        </w:rPr>
      </w:pPr>
      <w:r>
        <w:rPr>
          <w:b/>
          <w:bCs/>
          <w:color w:val="auto"/>
          <w:sz w:val="44"/>
          <w:szCs w:val="44"/>
          <w:highlight w:val="none"/>
        </w:rPr>
        <w:t>响应文件</w:t>
      </w:r>
    </w:p>
    <w:p w14:paraId="29FFD93C">
      <w:pPr>
        <w:snapToGrid w:val="0"/>
        <w:spacing w:before="156" w:beforeLines="50" w:after="50" w:line="360" w:lineRule="exact"/>
        <w:rPr>
          <w:bCs/>
          <w:color w:val="auto"/>
          <w:sz w:val="24"/>
          <w:highlight w:val="none"/>
        </w:rPr>
      </w:pPr>
    </w:p>
    <w:p w14:paraId="085C7339">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项目名称： </w:t>
      </w:r>
    </w:p>
    <w:p w14:paraId="25E6BF4C">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项目编号： </w:t>
      </w:r>
    </w:p>
    <w:p w14:paraId="035191F6">
      <w:pPr>
        <w:snapToGrid w:val="0"/>
        <w:spacing w:before="156" w:beforeLines="50" w:after="50" w:line="360" w:lineRule="exact"/>
        <w:ind w:firstLine="720" w:firstLineChars="300"/>
        <w:rPr>
          <w:bCs/>
          <w:color w:val="auto"/>
          <w:sz w:val="24"/>
          <w:highlight w:val="none"/>
        </w:rPr>
      </w:pPr>
      <w:r>
        <w:rPr>
          <w:rFonts w:hint="eastAsia"/>
          <w:bCs/>
          <w:color w:val="auto"/>
          <w:sz w:val="24"/>
          <w:highlight w:val="none"/>
          <w:lang w:eastAsia="zh-CN"/>
        </w:rPr>
        <w:t>供应商</w:t>
      </w:r>
      <w:r>
        <w:rPr>
          <w:bCs/>
          <w:color w:val="auto"/>
          <w:sz w:val="24"/>
          <w:highlight w:val="none"/>
        </w:rPr>
        <w:t>（公章）：</w:t>
      </w:r>
    </w:p>
    <w:p w14:paraId="561A815B">
      <w:pPr>
        <w:pStyle w:val="14"/>
        <w:snapToGrid w:val="0"/>
        <w:spacing w:before="50" w:after="50" w:line="360" w:lineRule="exact"/>
        <w:ind w:firstLine="960" w:firstLineChars="400"/>
        <w:rPr>
          <w:bCs/>
          <w:color w:val="auto"/>
          <w:sz w:val="24"/>
          <w:szCs w:val="24"/>
          <w:highlight w:val="none"/>
        </w:rPr>
      </w:pPr>
    </w:p>
    <w:p w14:paraId="21429AF3">
      <w:pPr>
        <w:pStyle w:val="14"/>
        <w:snapToGrid w:val="0"/>
        <w:spacing w:before="50" w:after="50" w:line="360" w:lineRule="exact"/>
        <w:ind w:firstLine="960" w:firstLineChars="400"/>
        <w:rPr>
          <w:bCs/>
          <w:color w:val="auto"/>
          <w:sz w:val="24"/>
          <w:szCs w:val="24"/>
          <w:highlight w:val="none"/>
        </w:rPr>
      </w:pPr>
    </w:p>
    <w:p w14:paraId="7079A084">
      <w:pPr>
        <w:snapToGrid w:val="0"/>
        <w:spacing w:before="156" w:beforeLines="50" w:after="50" w:line="360" w:lineRule="exact"/>
        <w:jc w:val="center"/>
        <w:rPr>
          <w:color w:val="auto"/>
          <w:sz w:val="24"/>
          <w:highlight w:val="none"/>
        </w:rPr>
      </w:pPr>
      <w:r>
        <w:rPr>
          <w:color w:val="auto"/>
          <w:sz w:val="24"/>
          <w:highlight w:val="none"/>
        </w:rPr>
        <w:t xml:space="preserve">                        年  月  日</w:t>
      </w:r>
    </w:p>
    <w:p w14:paraId="0ABA5A31">
      <w:pPr>
        <w:snapToGrid w:val="0"/>
        <w:spacing w:before="156" w:beforeLines="50" w:after="50" w:line="440" w:lineRule="exact"/>
        <w:rPr>
          <w:color w:val="auto"/>
          <w:sz w:val="24"/>
          <w:highlight w:val="none"/>
        </w:rPr>
      </w:pPr>
      <w:r>
        <w:rPr>
          <w:color w:val="auto"/>
          <w:sz w:val="24"/>
          <w:highlight w:val="none"/>
        </w:rPr>
        <w:br w:type="page"/>
      </w:r>
    </w:p>
    <w:p w14:paraId="535AA65B">
      <w:pPr>
        <w:snapToGrid w:val="0"/>
        <w:spacing w:before="156" w:beforeLines="50" w:after="50" w:line="440" w:lineRule="exact"/>
        <w:jc w:val="center"/>
        <w:rPr>
          <w:b/>
          <w:color w:val="auto"/>
          <w:sz w:val="24"/>
          <w:highlight w:val="none"/>
        </w:rPr>
      </w:pPr>
      <w:r>
        <w:rPr>
          <w:rFonts w:hint="eastAsia"/>
          <w:b/>
          <w:color w:val="auto"/>
          <w:sz w:val="24"/>
          <w:highlight w:val="none"/>
        </w:rPr>
        <w:t>评分索引</w:t>
      </w:r>
    </w:p>
    <w:tbl>
      <w:tblPr>
        <w:tblStyle w:val="42"/>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737"/>
        <w:gridCol w:w="913"/>
        <w:gridCol w:w="7027"/>
        <w:gridCol w:w="975"/>
      </w:tblGrid>
      <w:tr w14:paraId="66C3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14:paraId="6BB8321F">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rPr>
              <w:t>条款号</w:t>
            </w:r>
          </w:p>
        </w:tc>
        <w:tc>
          <w:tcPr>
            <w:tcW w:w="1650" w:type="dxa"/>
            <w:gridSpan w:val="2"/>
            <w:tcBorders>
              <w:top w:val="single" w:color="auto" w:sz="4" w:space="0"/>
              <w:left w:val="single" w:color="auto" w:sz="4" w:space="0"/>
              <w:bottom w:val="single" w:color="auto" w:sz="4" w:space="0"/>
              <w:right w:val="single" w:color="auto" w:sz="4" w:space="0"/>
            </w:tcBorders>
            <w:vAlign w:val="center"/>
          </w:tcPr>
          <w:p w14:paraId="421BCAF8">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评审因素</w:t>
            </w:r>
          </w:p>
        </w:tc>
        <w:tc>
          <w:tcPr>
            <w:tcW w:w="7027" w:type="dxa"/>
            <w:tcBorders>
              <w:top w:val="single" w:color="auto" w:sz="4" w:space="0"/>
              <w:left w:val="single" w:color="auto" w:sz="4" w:space="0"/>
              <w:bottom w:val="single" w:color="auto" w:sz="4" w:space="0"/>
              <w:right w:val="single" w:color="auto" w:sz="4" w:space="0"/>
            </w:tcBorders>
            <w:vAlign w:val="center"/>
          </w:tcPr>
          <w:p w14:paraId="22ACD256">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4F0C8BA0">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文件所在页码</w:t>
            </w:r>
          </w:p>
        </w:tc>
      </w:tr>
      <w:tr w14:paraId="54DB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14FF193B">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737" w:type="dxa"/>
            <w:vMerge w:val="restart"/>
            <w:tcBorders>
              <w:top w:val="single" w:color="auto" w:sz="4" w:space="0"/>
              <w:left w:val="single" w:color="auto" w:sz="4" w:space="0"/>
              <w:right w:val="single" w:color="auto" w:sz="4" w:space="0"/>
            </w:tcBorders>
            <w:noWrap w:val="0"/>
            <w:vAlign w:val="center"/>
          </w:tcPr>
          <w:p w14:paraId="3CC06600">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w:t>
            </w:r>
          </w:p>
          <w:p w14:paraId="10D81570">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（10分）</w:t>
            </w:r>
          </w:p>
          <w:p w14:paraId="0ACC2981">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7DAE9662">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业绩</w:t>
            </w:r>
          </w:p>
          <w:p w14:paraId="5C5AA7A4">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5B3A8E08">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投标人自2021年1月1日以来完成过的同类案例。</w:t>
            </w:r>
            <w:r>
              <w:rPr>
                <w:rFonts w:hint="eastAsia" w:hAnsi="宋体" w:eastAsia="宋体" w:cs="宋体"/>
                <w:bCs/>
                <w:color w:val="auto"/>
                <w:sz w:val="21"/>
                <w:szCs w:val="21"/>
                <w:highlight w:val="none"/>
                <w:lang w:val="en-US" w:eastAsia="zh-CN"/>
              </w:rPr>
              <w:t>每提供1个加1分，满分5分。</w:t>
            </w:r>
          </w:p>
          <w:p w14:paraId="3D8519A4">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en-US" w:eastAsia="zh-CN"/>
              </w:rPr>
              <w:t>合同以签订时间为准，能清晰反映项目名称、合同执行时间、及合同双方盖章等内容，如有缺漏，视为无效业绩。提供合同复印件并加盖供应商公章</w:t>
            </w:r>
            <w:r>
              <w:rPr>
                <w:rFonts w:hint="eastAsia" w:hAnsi="宋体" w:eastAsia="宋体" w:cs="宋体"/>
                <w:bCs/>
                <w:color w:val="auto"/>
                <w:sz w:val="21"/>
                <w:szCs w:val="21"/>
                <w:highlight w:val="none"/>
                <w:lang w:val="en-US" w:eastAsia="zh-CN"/>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B237E77">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hAnsi="宋体" w:eastAsia="宋体" w:cs="宋体"/>
                <w:bCs/>
                <w:color w:val="auto"/>
                <w:sz w:val="21"/>
                <w:szCs w:val="21"/>
                <w:highlight w:val="none"/>
                <w:lang w:val="en-US" w:eastAsia="zh-CN"/>
              </w:rPr>
            </w:pPr>
          </w:p>
        </w:tc>
      </w:tr>
      <w:tr w14:paraId="6011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continue"/>
            <w:tcBorders>
              <w:left w:val="single" w:color="auto" w:sz="4" w:space="0"/>
              <w:right w:val="single" w:color="auto" w:sz="4" w:space="0"/>
            </w:tcBorders>
            <w:noWrap w:val="0"/>
            <w:vAlign w:val="center"/>
          </w:tcPr>
          <w:p w14:paraId="7F6D9A78">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7" w:type="dxa"/>
            <w:vMerge w:val="continue"/>
            <w:tcBorders>
              <w:left w:val="single" w:color="auto" w:sz="4" w:space="0"/>
              <w:right w:val="single" w:color="auto" w:sz="4" w:space="0"/>
            </w:tcBorders>
            <w:noWrap w:val="0"/>
            <w:vAlign w:val="center"/>
          </w:tcPr>
          <w:p w14:paraId="754F77F4">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913" w:type="dxa"/>
            <w:tcBorders>
              <w:top w:val="single" w:color="auto" w:sz="4" w:space="0"/>
              <w:left w:val="single" w:color="auto" w:sz="4" w:space="0"/>
              <w:bottom w:val="single" w:color="auto" w:sz="4" w:space="0"/>
              <w:right w:val="single" w:color="auto" w:sz="4" w:space="0"/>
            </w:tcBorders>
            <w:noWrap w:val="0"/>
            <w:vAlign w:val="center"/>
          </w:tcPr>
          <w:p w14:paraId="067CE5EE">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资质情况</w:t>
            </w:r>
          </w:p>
          <w:p w14:paraId="2D1DED5A">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173BCC95">
            <w:pPr>
              <w:pStyle w:val="20"/>
              <w:keepNext w:val="0"/>
              <w:keepLines w:val="0"/>
              <w:pageBreakBefore w:val="0"/>
              <w:wordWrap/>
              <w:topLinePunct w:val="0"/>
              <w:autoSpaceDE/>
              <w:autoSpaceDN/>
              <w:bidi w:val="0"/>
              <w:spacing w:after="0" w:line="38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提供ISO20000或ISO27001体系认证、ISO9001质量体系认证证书、</w:t>
            </w:r>
            <w:r>
              <w:rPr>
                <w:rFonts w:hint="eastAsia" w:ascii="宋体" w:hAnsi="宋体" w:eastAsia="宋体" w:cs="宋体"/>
                <w:color w:val="auto"/>
                <w:sz w:val="21"/>
                <w:szCs w:val="21"/>
                <w:highlight w:val="none"/>
                <w:lang w:val="en-US" w:eastAsia="zh-CN"/>
              </w:rPr>
              <w:t>ISO22301业务连续性管理体系认证证书、国产化信息系统集成和服务能力等级证书（LS证书）、信息系统建设和服务能力等级证书（CS证书）</w:t>
            </w:r>
            <w:r>
              <w:rPr>
                <w:rFonts w:hint="eastAsia" w:ascii="宋体" w:hAnsi="宋体" w:eastAsia="宋体" w:cs="宋体"/>
                <w:color w:val="auto"/>
                <w:sz w:val="21"/>
                <w:szCs w:val="21"/>
                <w:highlight w:val="none"/>
                <w:lang w:val="en-US" w:eastAsia="zh-CN"/>
              </w:rPr>
              <w:t>资质。每提供一个得1分，满分5分。</w:t>
            </w:r>
          </w:p>
          <w:p w14:paraId="1A747C5B">
            <w:pPr>
              <w:pStyle w:val="20"/>
              <w:keepNext w:val="0"/>
              <w:keepLines w:val="0"/>
              <w:pageBreakBefore w:val="0"/>
              <w:wordWrap/>
              <w:topLinePunct w:val="0"/>
              <w:autoSpaceDE/>
              <w:autoSpaceDN/>
              <w:bidi w:val="0"/>
              <w:spacing w:after="0" w:line="380" w:lineRule="exact"/>
              <w:ind w:firstLine="0" w:firstLineChars="0"/>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注：提供以上证书或其他相关证明文件复印件，所有证书需在有效期内</w:t>
            </w:r>
            <w:r>
              <w:rPr>
                <w:rFonts w:hint="eastAsia" w:ascii="宋体" w:hAnsi="宋体" w:cs="宋体"/>
                <w:color w:val="auto"/>
                <w:sz w:val="21"/>
                <w:szCs w:val="21"/>
                <w:highlight w:val="none"/>
                <w:lang w:val="en-US" w:eastAsia="zh-CN"/>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D81825E">
            <w:pPr>
              <w:pStyle w:val="20"/>
              <w:keepNext w:val="0"/>
              <w:keepLines w:val="0"/>
              <w:pageBreakBefore w:val="0"/>
              <w:wordWrap/>
              <w:topLinePunct w:val="0"/>
              <w:autoSpaceDE/>
              <w:autoSpaceDN/>
              <w:bidi w:val="0"/>
              <w:spacing w:after="0" w:line="380" w:lineRule="exact"/>
              <w:textAlignment w:val="auto"/>
              <w:rPr>
                <w:rFonts w:hint="eastAsia" w:ascii="宋体" w:hAnsi="宋体" w:eastAsia="宋体" w:cs="宋体"/>
                <w:color w:val="auto"/>
                <w:sz w:val="21"/>
                <w:szCs w:val="21"/>
                <w:highlight w:val="none"/>
              </w:rPr>
            </w:pPr>
          </w:p>
        </w:tc>
      </w:tr>
      <w:tr w14:paraId="4FBA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024B737D">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737" w:type="dxa"/>
            <w:vMerge w:val="restart"/>
            <w:tcBorders>
              <w:top w:val="single" w:color="auto" w:sz="4" w:space="0"/>
              <w:left w:val="single" w:color="auto" w:sz="4" w:space="0"/>
              <w:right w:val="single" w:color="auto" w:sz="4" w:space="0"/>
            </w:tcBorders>
            <w:noWrap w:val="0"/>
            <w:vAlign w:val="center"/>
          </w:tcPr>
          <w:p w14:paraId="5DE91F07">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w:t>
            </w:r>
          </w:p>
          <w:p w14:paraId="6ABD8ED8">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（75分）</w:t>
            </w:r>
          </w:p>
          <w:p w14:paraId="7DD5C5B3">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913" w:type="dxa"/>
            <w:tcBorders>
              <w:top w:val="single" w:color="auto" w:sz="4" w:space="0"/>
              <w:left w:val="single" w:color="auto" w:sz="4" w:space="0"/>
              <w:right w:val="single" w:color="auto" w:sz="4" w:space="0"/>
            </w:tcBorders>
            <w:noWrap w:val="0"/>
            <w:vAlign w:val="center"/>
          </w:tcPr>
          <w:p w14:paraId="17BC63CD">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项目团队</w:t>
            </w:r>
          </w:p>
          <w:p w14:paraId="2A538E00">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397D4027">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w:t>
            </w:r>
            <w:r>
              <w:rPr>
                <w:rFonts w:hint="eastAsia" w:hAnsi="宋体" w:eastAsia="宋体" w:cs="宋体"/>
                <w:bCs/>
                <w:color w:val="auto"/>
                <w:sz w:val="21"/>
                <w:szCs w:val="21"/>
                <w:highlight w:val="none"/>
                <w:lang w:val="en-US" w:eastAsia="zh-CN"/>
              </w:rPr>
              <w:t>供应商针对本项目</w:t>
            </w:r>
            <w:r>
              <w:rPr>
                <w:rFonts w:hint="eastAsia" w:ascii="宋体" w:hAnsi="宋体" w:eastAsia="宋体" w:cs="宋体"/>
                <w:bCs/>
                <w:color w:val="auto"/>
                <w:sz w:val="21"/>
                <w:szCs w:val="21"/>
                <w:highlight w:val="none"/>
                <w:lang w:val="en-US" w:eastAsia="zh-CN"/>
              </w:rPr>
              <w:t>提供的项目团队内容（项目经理不少于2个同类项目经验、团队其他人员不少于1个同类项目经验等方面材料）</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bCs/>
                <w:color w:val="auto"/>
                <w:sz w:val="21"/>
                <w:szCs w:val="21"/>
                <w:highlight w:val="none"/>
                <w:lang w:val="en-US" w:eastAsia="zh-CN"/>
              </w:rPr>
              <w:t>：</w:t>
            </w:r>
          </w:p>
          <w:p w14:paraId="1793EF41">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一档（1～3分）项目经理具有不少于2个同类项目经验、团队人员有1-2个同类项目经验</w:t>
            </w:r>
            <w:r>
              <w:rPr>
                <w:rFonts w:hint="eastAsia" w:hAnsi="宋体" w:eastAsia="宋体" w:cs="宋体"/>
                <w:bCs/>
                <w:color w:val="auto"/>
                <w:sz w:val="21"/>
                <w:szCs w:val="21"/>
                <w:highlight w:val="none"/>
                <w:lang w:val="en-US" w:eastAsia="zh-CN"/>
              </w:rPr>
              <w:t>；</w:t>
            </w:r>
          </w:p>
          <w:p w14:paraId="7041D249">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二档（3.1～6分）项目经理具有不少于3个同类项目经验、团队人员有1-2个同类项目经验</w:t>
            </w:r>
            <w:r>
              <w:rPr>
                <w:rFonts w:hint="eastAsia" w:hAnsi="宋体" w:eastAsia="宋体" w:cs="宋体"/>
                <w:bCs/>
                <w:color w:val="auto"/>
                <w:sz w:val="21"/>
                <w:szCs w:val="21"/>
                <w:highlight w:val="none"/>
                <w:lang w:val="en-US" w:eastAsia="zh-CN"/>
              </w:rPr>
              <w:t>；</w:t>
            </w:r>
          </w:p>
          <w:p w14:paraId="150287B8">
            <w:pPr>
              <w:pStyle w:val="26"/>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三档（6.1～10分）项目经理具有有5个及以上同类项目经验，团队人员</w:t>
            </w:r>
            <w:r>
              <w:rPr>
                <w:rFonts w:hint="eastAsia" w:ascii="宋体" w:hAnsi="宋体" w:eastAsia="宋体" w:cs="宋体"/>
                <w:bCs/>
                <w:color w:val="auto"/>
                <w:sz w:val="21"/>
                <w:szCs w:val="21"/>
                <w:highlight w:val="none"/>
                <w:lang w:val="en-US" w:eastAsia="zh-CN"/>
              </w:rPr>
              <w:t>有不少于3个</w:t>
            </w:r>
            <w:r>
              <w:rPr>
                <w:rFonts w:hint="eastAsia" w:ascii="宋体" w:hAnsi="宋体" w:eastAsia="宋体" w:cs="宋体"/>
                <w:color w:val="auto"/>
                <w:sz w:val="21"/>
                <w:szCs w:val="21"/>
                <w:highlight w:val="none"/>
                <w:lang w:val="en-US" w:eastAsia="zh-CN"/>
              </w:rPr>
              <w:t>同类项目经验。</w:t>
            </w:r>
          </w:p>
          <w:p w14:paraId="52CAA977">
            <w:pPr>
              <w:pStyle w:val="26"/>
              <w:spacing w:line="400" w:lineRule="exact"/>
              <w:rPr>
                <w:rFonts w:hint="eastAsia"/>
                <w:color w:val="auto"/>
                <w:highlight w:val="none"/>
                <w:lang w:val="en-US" w:eastAsia="zh-CN"/>
              </w:rPr>
            </w:pPr>
            <w:r>
              <w:rPr>
                <w:rFonts w:hint="eastAsia" w:ascii="宋体" w:hAnsi="宋体" w:eastAsia="宋体" w:cs="宋体"/>
                <w:color w:val="auto"/>
                <w:sz w:val="21"/>
                <w:szCs w:val="21"/>
                <w:highlight w:val="none"/>
              </w:rPr>
              <w:t>注：①需提供团队人员清单，包含姓名、电话、职务（如项目经理、</w:t>
            </w:r>
            <w:r>
              <w:rPr>
                <w:rFonts w:hint="eastAsia" w:ascii="宋体" w:hAnsi="宋体" w:eastAsia="宋体" w:cs="宋体"/>
                <w:color w:val="auto"/>
                <w:sz w:val="21"/>
                <w:szCs w:val="21"/>
                <w:highlight w:val="none"/>
                <w:lang w:val="en-US"/>
              </w:rPr>
              <w:t>团队</w:t>
            </w:r>
            <w:r>
              <w:rPr>
                <w:rFonts w:hint="eastAsia" w:ascii="宋体" w:hAnsi="宋体" w:eastAsia="宋体" w:cs="宋体"/>
                <w:color w:val="auto"/>
                <w:sz w:val="21"/>
                <w:szCs w:val="21"/>
                <w:highlight w:val="none"/>
              </w:rPr>
              <w:t>人员）、职责等信息</w:t>
            </w:r>
            <w:r>
              <w:rPr>
                <w:rFonts w:hint="eastAsia" w:ascii="宋体" w:hAnsi="宋体" w:eastAsia="宋体" w:cs="宋体"/>
                <w:color w:val="auto"/>
                <w:sz w:val="21"/>
                <w:szCs w:val="21"/>
                <w:highlight w:val="none"/>
                <w:lang w:val="en-US"/>
              </w:rPr>
              <w:t>；②</w:t>
            </w:r>
            <w:r>
              <w:rPr>
                <w:rFonts w:hint="eastAsia" w:ascii="宋体" w:hAnsi="宋体" w:eastAsia="宋体" w:cs="宋体"/>
                <w:color w:val="auto"/>
                <w:szCs w:val="21"/>
                <w:highlight w:val="none"/>
              </w:rPr>
              <w:t>提供证书复印件、所从事过项目的验收报告或用户证明</w:t>
            </w:r>
            <w:r>
              <w:rPr>
                <w:rFonts w:hint="eastAsia" w:ascii="宋体" w:hAnsi="宋体" w:eastAsia="宋体" w:cs="宋体"/>
                <w:color w:val="auto"/>
                <w:szCs w:val="21"/>
                <w:highlight w:val="none"/>
                <w:lang w:val="en-US"/>
              </w:rPr>
              <w:t>；③</w:t>
            </w:r>
            <w:r>
              <w:rPr>
                <w:rFonts w:hint="eastAsia" w:ascii="宋体" w:hAnsi="宋体" w:eastAsia="宋体" w:cs="宋体"/>
                <w:color w:val="auto"/>
                <w:highlight w:val="none"/>
                <w:lang w:val="en-US"/>
              </w:rPr>
              <w:t>由</w:t>
            </w:r>
            <w:r>
              <w:rPr>
                <w:rFonts w:hint="eastAsia" w:hAnsi="宋体" w:eastAsia="宋体" w:cs="宋体"/>
                <w:color w:val="auto"/>
                <w:highlight w:val="none"/>
                <w:lang w:eastAsia="zh-CN"/>
              </w:rPr>
              <w:t>供应商</w:t>
            </w:r>
            <w:r>
              <w:rPr>
                <w:rFonts w:hint="eastAsia" w:ascii="宋体" w:hAnsi="宋体" w:eastAsia="宋体" w:cs="宋体"/>
                <w:color w:val="auto"/>
                <w:highlight w:val="none"/>
                <w:lang w:val="en-US"/>
              </w:rPr>
              <w:t>在</w:t>
            </w:r>
            <w:r>
              <w:rPr>
                <w:rFonts w:hint="eastAsia" w:ascii="宋体" w:hAnsi="宋体" w:eastAsia="宋体" w:cs="宋体"/>
                <w:color w:val="auto"/>
                <w:highlight w:val="none"/>
              </w:rPr>
              <w:t>截</w:t>
            </w:r>
            <w:r>
              <w:rPr>
                <w:rFonts w:hint="eastAsia" w:ascii="宋体" w:hAnsi="宋体" w:eastAsia="宋体" w:cs="宋体"/>
                <w:color w:val="auto"/>
                <w:highlight w:val="none"/>
                <w:lang w:val="en-US"/>
              </w:rPr>
              <w:t>标时间</w:t>
            </w:r>
            <w:r>
              <w:rPr>
                <w:rFonts w:hint="eastAsia" w:ascii="宋体" w:hAnsi="宋体" w:eastAsia="宋体" w:cs="宋体"/>
                <w:color w:val="auto"/>
                <w:highlight w:val="none"/>
              </w:rPr>
              <w:t>前</w:t>
            </w:r>
            <w:r>
              <w:rPr>
                <w:rFonts w:hint="eastAsia" w:ascii="宋体" w:hAnsi="宋体" w:eastAsia="宋体" w:cs="宋体"/>
                <w:color w:val="auto"/>
                <w:highlight w:val="none"/>
                <w:lang w:val="en-US"/>
              </w:rPr>
              <w:t>连续</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个月</w:t>
            </w:r>
            <w:r>
              <w:rPr>
                <w:rFonts w:hint="eastAsia" w:ascii="宋体" w:hAnsi="宋体" w:eastAsia="宋体" w:cs="宋体"/>
                <w:color w:val="auto"/>
                <w:highlight w:val="none"/>
                <w:lang w:val="en-US" w:eastAsia="zh-CN"/>
              </w:rPr>
              <w:t>内任意1个月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highlight w:val="none"/>
                <w:lang w:val="en-US"/>
              </w:rPr>
              <w:t>为其</w:t>
            </w:r>
            <w:r>
              <w:rPr>
                <w:rFonts w:hint="eastAsia" w:ascii="宋体" w:hAnsi="宋体" w:eastAsia="宋体" w:cs="宋体"/>
                <w:color w:val="auto"/>
                <w:highlight w:val="none"/>
              </w:rPr>
              <w:t>缴纳的社保</w:t>
            </w:r>
            <w:r>
              <w:rPr>
                <w:rFonts w:hint="eastAsia" w:ascii="宋体" w:hAnsi="宋体" w:eastAsia="宋体" w:cs="宋体"/>
                <w:color w:val="auto"/>
                <w:highlight w:val="none"/>
                <w:lang w:val="en-US"/>
              </w:rPr>
              <w:t>证明材料</w:t>
            </w:r>
            <w:r>
              <w:rPr>
                <w:rFonts w:hint="eastAsia" w:ascii="宋体" w:hAnsi="宋体" w:eastAsia="宋体" w:cs="宋体"/>
                <w:color w:val="auto"/>
                <w:highlight w:val="none"/>
                <w:lang w:val="en-US" w:eastAsia="zh-CN"/>
              </w:rPr>
              <w:t>复印件</w:t>
            </w:r>
            <w:r>
              <w:rPr>
                <w:rFonts w:hint="eastAsia" w:ascii="宋体" w:hAnsi="宋体" w:eastAsia="宋体" w:cs="宋体"/>
                <w:color w:val="auto"/>
                <w:sz w:val="21"/>
                <w:szCs w:val="21"/>
                <w:highlight w:val="none"/>
                <w:lang w:val="en-US"/>
              </w:rPr>
              <w:t>或劳动合同</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（所有相关材料加盖公章，否则无效）。</w:t>
            </w:r>
            <w:r>
              <w:rPr>
                <w:rFonts w:hint="eastAsia" w:ascii="宋体" w:hAnsi="宋体" w:eastAsia="宋体" w:cs="宋体"/>
                <w:b/>
                <w:bCs/>
                <w:color w:val="auto"/>
                <w:highlight w:val="none"/>
              </w:rPr>
              <w:t>拟投入的项目服务人员须与实际服务人员一致，否则按虚假应标处理。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8BF9413">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p>
        </w:tc>
      </w:tr>
      <w:tr w14:paraId="15DA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552" w:type="dxa"/>
            <w:vMerge w:val="continue"/>
            <w:tcBorders>
              <w:left w:val="single" w:color="auto" w:sz="4" w:space="0"/>
              <w:right w:val="single" w:color="auto" w:sz="4" w:space="0"/>
            </w:tcBorders>
            <w:noWrap w:val="0"/>
            <w:vAlign w:val="center"/>
          </w:tcPr>
          <w:p w14:paraId="6590E0EB">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7" w:type="dxa"/>
            <w:vMerge w:val="continue"/>
            <w:tcBorders>
              <w:left w:val="single" w:color="auto" w:sz="4" w:space="0"/>
              <w:right w:val="single" w:color="auto" w:sz="4" w:space="0"/>
            </w:tcBorders>
            <w:noWrap w:val="0"/>
            <w:vAlign w:val="center"/>
          </w:tcPr>
          <w:p w14:paraId="5672A132">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
                <w:bCs w:val="0"/>
                <w:color w:val="auto"/>
                <w:sz w:val="21"/>
                <w:szCs w:val="21"/>
                <w:highlight w:val="none"/>
                <w:lang w:val="en-US" w:eastAsia="zh-CN"/>
              </w:rPr>
            </w:pPr>
          </w:p>
        </w:tc>
        <w:tc>
          <w:tcPr>
            <w:tcW w:w="913" w:type="dxa"/>
            <w:tcBorders>
              <w:left w:val="single" w:color="auto" w:sz="4" w:space="0"/>
              <w:right w:val="single" w:color="auto" w:sz="4" w:space="0"/>
            </w:tcBorders>
            <w:noWrap w:val="0"/>
            <w:vAlign w:val="center"/>
          </w:tcPr>
          <w:p w14:paraId="0F663BAE">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技术方案及实施方案</w:t>
            </w:r>
          </w:p>
          <w:p w14:paraId="36C071DA">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50分</w:t>
            </w:r>
            <w:r>
              <w:rPr>
                <w:rFonts w:hint="eastAsia" w:ascii="宋体" w:hAnsi="宋体" w:eastAsia="宋体" w:cs="宋体"/>
                <w:color w:val="auto"/>
                <w:sz w:val="21"/>
                <w:szCs w:val="21"/>
                <w:highlight w:val="none"/>
                <w:lang w:eastAsia="zh-CN"/>
              </w:rPr>
              <w:t>）</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27C4BB5B">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cs="宋体"/>
                <w:color w:val="auto"/>
                <w:sz w:val="21"/>
                <w:szCs w:val="21"/>
                <w:highlight w:val="none"/>
                <w:lang w:eastAsia="zh-CN"/>
              </w:rPr>
              <w:t>供应商</w:t>
            </w:r>
            <w:r>
              <w:rPr>
                <w:rFonts w:hint="eastAsia" w:cs="宋体"/>
                <w:color w:val="auto"/>
                <w:sz w:val="21"/>
                <w:szCs w:val="21"/>
                <w:highlight w:val="none"/>
                <w:lang w:val="en-US" w:eastAsia="zh-CN"/>
              </w:rPr>
              <w:t>针对本项目提供</w:t>
            </w:r>
            <w:r>
              <w:rPr>
                <w:rFonts w:hint="eastAsia" w:ascii="宋体" w:hAnsi="宋体" w:eastAsia="宋体" w:cs="宋体"/>
                <w:color w:val="auto"/>
                <w:sz w:val="21"/>
                <w:szCs w:val="21"/>
                <w:highlight w:val="none"/>
              </w:rPr>
              <w:t>的实施方案内容</w:t>
            </w:r>
            <w:r>
              <w:rPr>
                <w:rFonts w:hint="eastAsia" w:cs="宋体"/>
                <w:color w:val="auto"/>
                <w:sz w:val="21"/>
                <w:szCs w:val="21"/>
                <w:highlight w:val="none"/>
                <w:lang w:eastAsia="zh-CN"/>
              </w:rPr>
              <w:t>（</w:t>
            </w:r>
            <w:r>
              <w:rPr>
                <w:rFonts w:hint="eastAsia" w:cs="宋体"/>
                <w:color w:val="auto"/>
                <w:sz w:val="21"/>
                <w:szCs w:val="21"/>
                <w:highlight w:val="none"/>
                <w:lang w:val="en-US" w:eastAsia="zh-CN"/>
              </w:rPr>
              <w:t>包括且不限于</w:t>
            </w:r>
            <w:r>
              <w:rPr>
                <w:rFonts w:hint="eastAsia" w:ascii="宋体" w:hAnsi="宋体" w:eastAsia="宋体" w:cs="宋体"/>
                <w:color w:val="auto"/>
                <w:sz w:val="21"/>
                <w:szCs w:val="21"/>
                <w:highlight w:val="none"/>
              </w:rPr>
              <w:t>实施服务，质量管理，技术培训，项目管理和措施等材料</w:t>
            </w:r>
            <w:r>
              <w:rPr>
                <w:rFonts w:hint="eastAsia" w:cs="宋体"/>
                <w:color w:val="auto"/>
                <w:sz w:val="21"/>
                <w:szCs w:val="21"/>
                <w:highlight w:val="none"/>
                <w:lang w:eastAsia="zh-CN"/>
              </w:rPr>
              <w:t>）</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sz w:val="21"/>
                <w:szCs w:val="21"/>
                <w:highlight w:val="none"/>
              </w:rPr>
              <w:t>：</w:t>
            </w:r>
          </w:p>
          <w:p w14:paraId="6EA5A59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一档（1～16分）</w:t>
            </w:r>
            <w:r>
              <w:rPr>
                <w:rFonts w:hint="eastAsia" w:ascii="宋体" w:hAnsi="宋体" w:eastAsia="宋体" w:cs="宋体"/>
                <w:bCs/>
                <w:color w:val="auto"/>
                <w:sz w:val="21"/>
                <w:szCs w:val="21"/>
                <w:highlight w:val="none"/>
              </w:rPr>
              <w:t>对实施方案进行着重说明的，但分析不够具体、不全面、方案叙述简单笼统</w:t>
            </w:r>
            <w:r>
              <w:rPr>
                <w:rFonts w:hint="eastAsia" w:ascii="宋体" w:hAnsi="宋体" w:eastAsia="宋体" w:cs="宋体"/>
                <w:bCs/>
                <w:color w:val="auto"/>
                <w:sz w:val="21"/>
                <w:szCs w:val="21"/>
                <w:highlight w:val="none"/>
                <w:lang w:eastAsia="zh-CN"/>
              </w:rPr>
              <w:t>；</w:t>
            </w:r>
          </w:p>
          <w:p w14:paraId="7640680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二档（16.1～33分）</w:t>
            </w:r>
            <w:r>
              <w:rPr>
                <w:rFonts w:hint="eastAsia" w:ascii="宋体" w:hAnsi="宋体" w:eastAsia="宋体" w:cs="宋体"/>
                <w:i w:val="0"/>
                <w:color w:val="auto"/>
                <w:kern w:val="0"/>
                <w:sz w:val="21"/>
                <w:szCs w:val="21"/>
                <w:highlight w:val="none"/>
                <w:u w:val="none"/>
                <w:lang w:val="en-US" w:eastAsia="zh-CN" w:bidi="ar"/>
              </w:rPr>
              <w:t>提供的技术、</w:t>
            </w:r>
            <w:r>
              <w:rPr>
                <w:rFonts w:hint="eastAsia" w:ascii="宋体" w:hAnsi="宋体" w:eastAsia="宋体" w:cs="宋体"/>
                <w:bCs/>
                <w:color w:val="auto"/>
                <w:sz w:val="21"/>
                <w:szCs w:val="21"/>
                <w:highlight w:val="none"/>
              </w:rPr>
              <w:t>实施方案着重说明的，能进行较具体、全面分析，方案基本合理、可行</w:t>
            </w:r>
            <w:r>
              <w:rPr>
                <w:rFonts w:hint="eastAsia" w:hAnsi="宋体" w:eastAsia="宋体" w:cs="宋体"/>
                <w:bCs/>
                <w:color w:val="auto"/>
                <w:sz w:val="21"/>
                <w:szCs w:val="21"/>
                <w:highlight w:val="none"/>
                <w:lang w:eastAsia="zh-CN"/>
              </w:rPr>
              <w:t>，</w:t>
            </w:r>
            <w:r>
              <w:rPr>
                <w:rFonts w:hint="eastAsia" w:hAnsi="宋体" w:eastAsia="宋体" w:cs="宋体"/>
                <w:bCs/>
                <w:color w:val="auto"/>
                <w:sz w:val="21"/>
                <w:szCs w:val="21"/>
                <w:highlight w:val="none"/>
                <w:lang w:val="en-US" w:eastAsia="zh-CN"/>
              </w:rPr>
              <w:t>有针对性；</w:t>
            </w:r>
          </w:p>
          <w:p w14:paraId="3574D95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三档（33.1～50分）</w:t>
            </w:r>
            <w:r>
              <w:rPr>
                <w:rFonts w:hint="eastAsia" w:ascii="宋体" w:hAnsi="宋体" w:eastAsia="宋体" w:cs="宋体"/>
                <w:i w:val="0"/>
                <w:color w:val="auto"/>
                <w:kern w:val="0"/>
                <w:sz w:val="21"/>
                <w:szCs w:val="21"/>
                <w:highlight w:val="none"/>
                <w:u w:val="none"/>
                <w:lang w:val="en-US" w:eastAsia="zh-CN" w:bidi="ar"/>
              </w:rPr>
              <w:t>提供的技术、</w:t>
            </w:r>
            <w:r>
              <w:rPr>
                <w:rFonts w:hint="eastAsia" w:ascii="宋体" w:hAnsi="宋体" w:eastAsia="宋体" w:cs="宋体"/>
                <w:bCs/>
                <w:color w:val="auto"/>
                <w:sz w:val="21"/>
                <w:szCs w:val="21"/>
                <w:highlight w:val="none"/>
              </w:rPr>
              <w:t>实施方案着重说明，能进行详细全面的分析，方案合理、可行，有针对性地根据所采用的技术的可行性与优点进行详细分析说明，提供良好的深化设计方案</w:t>
            </w:r>
            <w:r>
              <w:rPr>
                <w:rFonts w:hint="eastAsia" w:ascii="宋体" w:hAnsi="宋体" w:eastAsia="宋体" w:cs="宋体"/>
                <w:i w:val="0"/>
                <w:color w:val="auto"/>
                <w:kern w:val="0"/>
                <w:sz w:val="21"/>
                <w:szCs w:val="21"/>
                <w:highlight w:val="none"/>
                <w:u w:val="none"/>
                <w:lang w:val="en-US" w:eastAsia="zh-CN" w:bidi="ar"/>
              </w:rPr>
              <w:t>，针对性强和操作性强</w:t>
            </w:r>
            <w:r>
              <w:rPr>
                <w:rFonts w:hint="eastAsia" w:ascii="宋体" w:hAnsi="宋体" w:eastAsia="宋体" w:cs="宋体"/>
                <w:bCs/>
                <w:color w:val="auto"/>
                <w:sz w:val="21"/>
                <w:szCs w:val="21"/>
                <w:highlight w:val="none"/>
                <w:lang w:eastAsia="zh-CN"/>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836F746">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2"/>
                <w:sz w:val="21"/>
                <w:szCs w:val="21"/>
                <w:highlight w:val="none"/>
                <w:lang w:val="en-US" w:eastAsia="zh-CN" w:bidi="ar-SA"/>
              </w:rPr>
            </w:pPr>
          </w:p>
        </w:tc>
      </w:tr>
      <w:tr w14:paraId="32A6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552" w:type="dxa"/>
            <w:vMerge w:val="continue"/>
            <w:tcBorders>
              <w:left w:val="single" w:color="auto" w:sz="4" w:space="0"/>
              <w:right w:val="single" w:color="auto" w:sz="4" w:space="0"/>
            </w:tcBorders>
            <w:noWrap w:val="0"/>
            <w:vAlign w:val="center"/>
          </w:tcPr>
          <w:p w14:paraId="4B0FC4E8">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37" w:type="dxa"/>
            <w:vMerge w:val="continue"/>
            <w:tcBorders>
              <w:left w:val="single" w:color="auto" w:sz="4" w:space="0"/>
              <w:right w:val="single" w:color="auto" w:sz="4" w:space="0"/>
            </w:tcBorders>
            <w:noWrap w:val="0"/>
            <w:vAlign w:val="center"/>
          </w:tcPr>
          <w:p w14:paraId="60F215AF">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
                <w:bCs w:val="0"/>
                <w:color w:val="auto"/>
                <w:sz w:val="21"/>
                <w:szCs w:val="21"/>
                <w:highlight w:val="none"/>
                <w:lang w:val="en-US" w:eastAsia="zh-CN"/>
              </w:rPr>
            </w:pPr>
          </w:p>
        </w:tc>
        <w:tc>
          <w:tcPr>
            <w:tcW w:w="913" w:type="dxa"/>
            <w:tcBorders>
              <w:left w:val="single" w:color="auto" w:sz="4" w:space="0"/>
              <w:bottom w:val="single" w:color="auto" w:sz="4" w:space="0"/>
              <w:right w:val="single" w:color="auto" w:sz="4" w:space="0"/>
            </w:tcBorders>
            <w:shd w:val="clear" w:color="auto" w:fill="auto"/>
            <w:noWrap w:val="0"/>
            <w:vAlign w:val="center"/>
          </w:tcPr>
          <w:p w14:paraId="319F67E4">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售后服务</w:t>
            </w:r>
          </w:p>
          <w:p w14:paraId="6B7C2A16">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（15分）</w:t>
            </w:r>
          </w:p>
        </w:tc>
        <w:tc>
          <w:tcPr>
            <w:tcW w:w="702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34EE28">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cs="宋体"/>
                <w:color w:val="auto"/>
                <w:sz w:val="21"/>
                <w:szCs w:val="21"/>
                <w:highlight w:val="none"/>
                <w:lang w:eastAsia="zh-CN"/>
              </w:rPr>
              <w:t>供应商</w:t>
            </w:r>
            <w:r>
              <w:rPr>
                <w:rFonts w:hint="eastAsia" w:cs="宋体"/>
                <w:color w:val="auto"/>
                <w:sz w:val="21"/>
                <w:szCs w:val="21"/>
                <w:highlight w:val="none"/>
                <w:lang w:val="en-US" w:eastAsia="zh-CN"/>
              </w:rPr>
              <w:t>针对本项目</w:t>
            </w:r>
            <w:r>
              <w:rPr>
                <w:rFonts w:hint="eastAsia" w:ascii="宋体" w:hAnsi="宋体" w:eastAsia="宋体" w:cs="宋体"/>
                <w:color w:val="auto"/>
                <w:sz w:val="21"/>
                <w:szCs w:val="21"/>
                <w:highlight w:val="none"/>
              </w:rPr>
              <w:t>提供的售后服务方案（包括</w:t>
            </w:r>
            <w:r>
              <w:rPr>
                <w:rFonts w:hint="eastAsia" w:cs="宋体"/>
                <w:color w:val="auto"/>
                <w:sz w:val="21"/>
                <w:szCs w:val="21"/>
                <w:highlight w:val="none"/>
                <w:lang w:val="en-US" w:eastAsia="zh-CN"/>
              </w:rPr>
              <w:t>且</w:t>
            </w:r>
            <w:r>
              <w:rPr>
                <w:rFonts w:hint="eastAsia" w:ascii="宋体" w:hAnsi="宋体" w:eastAsia="宋体" w:cs="宋体"/>
                <w:color w:val="auto"/>
                <w:sz w:val="21"/>
                <w:szCs w:val="21"/>
                <w:highlight w:val="none"/>
              </w:rPr>
              <w:t>不限于售后方案及培训方案、项目验收后工程师经历情况及驻场服务方案、免费维保期后可提供的后续维保优惠条件及方案及其他相关增量服务优惠条件等）</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sz w:val="21"/>
                <w:szCs w:val="21"/>
                <w:highlight w:val="none"/>
              </w:rPr>
              <w:t>：</w:t>
            </w:r>
          </w:p>
          <w:p w14:paraId="632865AE">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一档（1～5分</w:t>
            </w:r>
            <w:r>
              <w:rPr>
                <w:rFonts w:hint="eastAsia" w:hAns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val="en-US" w:eastAsia="zh-CN"/>
              </w:rPr>
              <w:t>提供的</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可</w:t>
            </w:r>
            <w:r>
              <w:rPr>
                <w:rFonts w:hint="eastAsia" w:ascii="宋体" w:hAnsi="宋体" w:eastAsia="宋体" w:cs="宋体"/>
                <w:color w:val="auto"/>
                <w:sz w:val="21"/>
                <w:szCs w:val="21"/>
                <w:highlight w:val="none"/>
                <w:lang w:val="en-US" w:eastAsia="zh-CN"/>
              </w:rPr>
              <w:t>行，</w:t>
            </w:r>
            <w:r>
              <w:rPr>
                <w:rFonts w:hint="eastAsia" w:hAnsi="宋体" w:eastAsia="宋体" w:cs="宋体"/>
                <w:color w:val="auto"/>
                <w:sz w:val="21"/>
                <w:szCs w:val="21"/>
                <w:highlight w:val="none"/>
                <w:lang w:val="en-US" w:eastAsia="zh-CN"/>
              </w:rPr>
              <w:t>售后</w:t>
            </w:r>
            <w:r>
              <w:rPr>
                <w:rFonts w:hint="eastAsia" w:ascii="宋体" w:hAnsi="宋体" w:eastAsia="宋体" w:cs="宋体"/>
                <w:color w:val="auto"/>
                <w:sz w:val="21"/>
                <w:szCs w:val="21"/>
                <w:highlight w:val="none"/>
                <w:lang w:val="en-US" w:eastAsia="zh-CN"/>
              </w:rPr>
              <w:t>服务内容基本符合本项目需求</w:t>
            </w:r>
            <w:r>
              <w:rPr>
                <w:rFonts w:hint="eastAsia" w:ascii="宋体" w:hAnsi="宋体" w:eastAsia="宋体" w:cs="宋体"/>
                <w:color w:val="auto"/>
                <w:sz w:val="21"/>
                <w:szCs w:val="21"/>
                <w:highlight w:val="none"/>
                <w:lang w:eastAsia="zh-CN"/>
              </w:rPr>
              <w:t>；</w:t>
            </w:r>
          </w:p>
          <w:p w14:paraId="74202283">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二档（5.1～10分） 在满足一档的基础上，</w:t>
            </w:r>
            <w:r>
              <w:rPr>
                <w:rFonts w:hint="eastAsia" w:hAnsi="宋体" w:eastAsia="宋体" w:cs="宋体"/>
                <w:bCs/>
                <w:color w:val="auto"/>
                <w:sz w:val="21"/>
                <w:szCs w:val="21"/>
                <w:highlight w:val="none"/>
                <w:lang w:val="en-US" w:eastAsia="zh-CN"/>
              </w:rPr>
              <w:t>售后</w:t>
            </w:r>
            <w:r>
              <w:rPr>
                <w:rFonts w:hint="eastAsia" w:ascii="宋体" w:hAnsi="宋体" w:eastAsia="宋体" w:cs="宋体"/>
                <w:bCs/>
                <w:color w:val="auto"/>
                <w:sz w:val="21"/>
                <w:szCs w:val="21"/>
                <w:highlight w:val="none"/>
                <w:lang w:val="en-US" w:eastAsia="zh-CN"/>
              </w:rPr>
              <w:t>服务要求对本项目具</w:t>
            </w:r>
            <w:r>
              <w:rPr>
                <w:rFonts w:hint="eastAsia" w:hAnsi="宋体" w:eastAsia="宋体" w:cs="宋体"/>
                <w:bCs/>
                <w:color w:val="auto"/>
                <w:sz w:val="21"/>
                <w:szCs w:val="21"/>
                <w:highlight w:val="none"/>
                <w:lang w:val="en-US" w:eastAsia="zh-CN"/>
              </w:rPr>
              <w:t>有</w:t>
            </w:r>
            <w:r>
              <w:rPr>
                <w:rFonts w:hint="eastAsia" w:ascii="宋体" w:hAnsi="宋体" w:eastAsia="宋体" w:cs="宋体"/>
                <w:bCs/>
                <w:color w:val="auto"/>
                <w:sz w:val="21"/>
                <w:szCs w:val="21"/>
                <w:highlight w:val="none"/>
                <w:lang w:val="en-US" w:eastAsia="zh-CN"/>
              </w:rPr>
              <w:t>针对性</w:t>
            </w:r>
            <w:r>
              <w:rPr>
                <w:rFonts w:hint="eastAsia" w:hAnsi="宋体" w:eastAsia="宋体" w:cs="宋体"/>
                <w:bCs/>
                <w:color w:val="auto"/>
                <w:sz w:val="21"/>
                <w:szCs w:val="21"/>
                <w:highlight w:val="none"/>
                <w:lang w:val="en-US" w:eastAsia="zh-CN"/>
              </w:rPr>
              <w:t>，有详细的培训计划</w:t>
            </w:r>
            <w:r>
              <w:rPr>
                <w:rFonts w:hint="eastAsia" w:ascii="宋体" w:hAnsi="宋体" w:eastAsia="宋体" w:cs="宋体"/>
                <w:color w:val="auto"/>
                <w:sz w:val="21"/>
                <w:szCs w:val="21"/>
                <w:highlight w:val="none"/>
                <w:lang w:eastAsia="zh-CN"/>
              </w:rPr>
              <w:t>；</w:t>
            </w:r>
          </w:p>
          <w:p w14:paraId="6ACF94B8">
            <w:pPr>
              <w:pStyle w:val="26"/>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三档（10.1～15分）在满足二档的基础上，</w:t>
            </w:r>
            <w:r>
              <w:rPr>
                <w:rFonts w:hint="eastAsia" w:ascii="宋体" w:hAnsi="宋体" w:eastAsia="宋体" w:cs="宋体"/>
                <w:bCs/>
                <w:color w:val="auto"/>
                <w:sz w:val="21"/>
                <w:szCs w:val="21"/>
                <w:highlight w:val="none"/>
              </w:rPr>
              <w:t>对方案着重说明，方案合理、可行，</w:t>
            </w:r>
            <w:r>
              <w:rPr>
                <w:rFonts w:hint="eastAsia" w:ascii="宋体" w:hAnsi="宋体" w:eastAsia="宋体" w:cs="宋体"/>
                <w:bCs/>
                <w:color w:val="auto"/>
                <w:sz w:val="21"/>
                <w:szCs w:val="21"/>
                <w:highlight w:val="none"/>
                <w:lang w:val="en-US" w:eastAsia="zh-CN"/>
              </w:rPr>
              <w:t>内容全面，针对性强、可操作性强</w:t>
            </w:r>
            <w:r>
              <w:rPr>
                <w:rFonts w:hint="eastAsia" w:ascii="宋体" w:hAnsi="宋体" w:eastAsia="宋体" w:cs="宋体"/>
                <w:color w:val="auto"/>
                <w:sz w:val="21"/>
                <w:szCs w:val="21"/>
                <w:highlight w:val="none"/>
                <w:lang w:eastAsia="zh-CN"/>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9A27ACC">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2"/>
                <w:sz w:val="21"/>
                <w:szCs w:val="21"/>
                <w:highlight w:val="none"/>
                <w:lang w:val="en-US" w:eastAsia="zh-CN" w:bidi="ar-SA"/>
              </w:rPr>
            </w:pPr>
          </w:p>
        </w:tc>
      </w:tr>
    </w:tbl>
    <w:p w14:paraId="232E7E23">
      <w:pPr>
        <w:pStyle w:val="21"/>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20C838E">
      <w:pPr>
        <w:snapToGrid w:val="0"/>
        <w:spacing w:before="156" w:beforeLines="50" w:after="50" w:line="440" w:lineRule="exact"/>
        <w:rPr>
          <w:b/>
          <w:bCs/>
          <w:color w:val="auto"/>
          <w:sz w:val="24"/>
          <w:highlight w:val="none"/>
        </w:rPr>
      </w:pPr>
      <w:r>
        <w:rPr>
          <w:b/>
          <w:color w:val="auto"/>
          <w:sz w:val="24"/>
          <w:highlight w:val="none"/>
        </w:rPr>
        <w:t>响应文件格式</w:t>
      </w:r>
    </w:p>
    <w:p w14:paraId="447CB068">
      <w:pPr>
        <w:snapToGrid w:val="0"/>
        <w:spacing w:before="156" w:beforeLines="50" w:after="50" w:line="440" w:lineRule="exact"/>
        <w:jc w:val="center"/>
        <w:rPr>
          <w:color w:val="auto"/>
          <w:sz w:val="24"/>
          <w:highlight w:val="none"/>
        </w:rPr>
      </w:pPr>
    </w:p>
    <w:p w14:paraId="7374AA17">
      <w:pPr>
        <w:snapToGrid w:val="0"/>
        <w:spacing w:before="50" w:after="50" w:line="440" w:lineRule="exact"/>
        <w:ind w:firstLine="138" w:firstLineChars="49"/>
        <w:jc w:val="both"/>
        <w:rPr>
          <w:b/>
          <w:color w:val="auto"/>
          <w:sz w:val="28"/>
          <w:szCs w:val="28"/>
          <w:highlight w:val="none"/>
        </w:rPr>
      </w:pPr>
      <w:r>
        <w:rPr>
          <w:b/>
          <w:color w:val="auto"/>
          <w:sz w:val="28"/>
          <w:szCs w:val="28"/>
          <w:highlight w:val="none"/>
        </w:rPr>
        <w:t>目录</w:t>
      </w:r>
    </w:p>
    <w:p w14:paraId="7B73943E">
      <w:pPr>
        <w:snapToGrid w:val="0"/>
        <w:spacing w:before="50" w:after="50" w:line="440" w:lineRule="exact"/>
        <w:ind w:firstLine="117" w:firstLineChars="49"/>
        <w:jc w:val="both"/>
        <w:rPr>
          <w:b/>
          <w:color w:val="auto"/>
          <w:sz w:val="24"/>
          <w:highlight w:val="none"/>
        </w:rPr>
      </w:pPr>
      <w:r>
        <w:rPr>
          <w:rFonts w:hint="eastAsia"/>
          <w:b w:val="0"/>
          <w:bCs/>
          <w:color w:val="auto"/>
          <w:sz w:val="24"/>
          <w:highlight w:val="none"/>
          <w:lang w:val="en-US" w:eastAsia="zh-CN"/>
        </w:rPr>
        <w:t>根据磋商文件规定及供应商提供的材料自行编写目录，</w:t>
      </w:r>
      <w:r>
        <w:rPr>
          <w:b w:val="0"/>
          <w:bCs/>
          <w:color w:val="auto"/>
          <w:sz w:val="24"/>
          <w:highlight w:val="none"/>
        </w:rPr>
        <w:t>需有页码</w:t>
      </w:r>
    </w:p>
    <w:p w14:paraId="12868648">
      <w:pPr>
        <w:pStyle w:val="20"/>
        <w:ind w:firstLine="420"/>
        <w:rPr>
          <w:color w:val="auto"/>
          <w:highlight w:val="none"/>
        </w:rPr>
      </w:pPr>
    </w:p>
    <w:p w14:paraId="0F58E20A">
      <w:pPr>
        <w:ind w:firstLine="527" w:firstLineChars="250"/>
        <w:jc w:val="center"/>
        <w:rPr>
          <w:b/>
          <w:bCs/>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630D3916">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color w:val="auto"/>
          <w:sz w:val="21"/>
          <w:szCs w:val="21"/>
          <w:highlight w:val="none"/>
          <w:lang w:eastAsia="zh-CN"/>
        </w:rPr>
      </w:pPr>
      <w:bookmarkStart w:id="309" w:name="_Toc187060990"/>
      <w:bookmarkStart w:id="310" w:name="_Toc135752560"/>
      <w:bookmarkStart w:id="311" w:name="_Toc186382413"/>
      <w:bookmarkStart w:id="312" w:name="_Toc181958776"/>
      <w:bookmarkStart w:id="313" w:name="_Toc186915358"/>
      <w:bookmarkStart w:id="314" w:name="_Toc182274056"/>
      <w:bookmarkStart w:id="315" w:name="_Toc183712409"/>
      <w:bookmarkStart w:id="316" w:name="_Toc182273924"/>
      <w:bookmarkStart w:id="317" w:name="_Toc186917284"/>
      <w:bookmarkStart w:id="318" w:name="_Toc187120980"/>
      <w:bookmarkStart w:id="319" w:name="_Toc380054675"/>
      <w:bookmarkStart w:id="320" w:name="_Toc186917122"/>
      <w:bookmarkStart w:id="321" w:name="_Toc186101190"/>
      <w:bookmarkStart w:id="322" w:name="_Toc187243761"/>
      <w:bookmarkStart w:id="323" w:name="_Toc476524897"/>
      <w:bookmarkStart w:id="324" w:name="_Toc181778300"/>
      <w:bookmarkStart w:id="325" w:name="_Toc380762233"/>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供应商直接控股、管理关系信息</w:t>
      </w:r>
      <w:r>
        <w:rPr>
          <w:rFonts w:hint="eastAsia" w:ascii="宋体" w:hAnsi="宋体" w:eastAsia="宋体" w:cs="宋体"/>
          <w:b/>
          <w:bCs w:val="0"/>
          <w:color w:val="auto"/>
          <w:sz w:val="21"/>
          <w:szCs w:val="21"/>
          <w:highlight w:val="none"/>
        </w:rPr>
        <w:t>表</w:t>
      </w:r>
      <w:r>
        <w:rPr>
          <w:rFonts w:hint="eastAsia"/>
          <w:b/>
          <w:bCs w:val="0"/>
          <w:color w:val="auto"/>
          <w:highlight w:val="none"/>
          <w:lang w:eastAsia="zh-CN"/>
        </w:rPr>
        <w:t>（</w:t>
      </w:r>
      <w:r>
        <w:rPr>
          <w:rFonts w:hint="eastAsia"/>
          <w:b/>
          <w:bCs w:val="0"/>
          <w:color w:val="auto"/>
          <w:highlight w:val="none"/>
          <w:lang w:val="en-US" w:eastAsia="zh-CN"/>
        </w:rPr>
        <w:t>必须提供</w:t>
      </w:r>
      <w:r>
        <w:rPr>
          <w:rFonts w:hint="eastAsia"/>
          <w:b/>
          <w:bCs w:val="0"/>
          <w:color w:val="auto"/>
          <w:highlight w:val="none"/>
          <w:lang w:eastAsia="zh-CN"/>
        </w:rPr>
        <w:t>）</w:t>
      </w:r>
    </w:p>
    <w:p w14:paraId="1650C3C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color w:val="auto"/>
          <w:sz w:val="21"/>
          <w:szCs w:val="21"/>
          <w:highlight w:val="none"/>
        </w:rPr>
      </w:pPr>
    </w:p>
    <w:p w14:paraId="673DC9AE">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供应商直接控股股东信息表</w:t>
      </w:r>
    </w:p>
    <w:p w14:paraId="40548043">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FCAEC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D4091E">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EEC607">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6B7893">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79B3A07">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0BC225">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4A7DB3F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ACA09D">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4FA76">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4BBE5B">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5A0B23">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B04AB1">
            <w:pPr>
              <w:widowControl/>
              <w:spacing w:line="360" w:lineRule="auto"/>
              <w:contextualSpacing/>
              <w:jc w:val="center"/>
              <w:rPr>
                <w:rFonts w:hint="eastAsia" w:ascii="宋体" w:hAnsi="宋体" w:eastAsia="宋体" w:cs="宋体"/>
                <w:color w:val="auto"/>
                <w:kern w:val="0"/>
                <w:sz w:val="21"/>
                <w:szCs w:val="21"/>
                <w:highlight w:val="none"/>
              </w:rPr>
            </w:pPr>
          </w:p>
        </w:tc>
      </w:tr>
      <w:tr w14:paraId="200B078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655DCC">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4A42A8">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D9AE9A">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D3ACB8">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FF43D9">
            <w:pPr>
              <w:widowControl/>
              <w:spacing w:line="360" w:lineRule="auto"/>
              <w:contextualSpacing/>
              <w:jc w:val="center"/>
              <w:rPr>
                <w:rFonts w:hint="eastAsia" w:ascii="宋体" w:hAnsi="宋体" w:eastAsia="宋体" w:cs="宋体"/>
                <w:color w:val="auto"/>
                <w:kern w:val="0"/>
                <w:sz w:val="21"/>
                <w:szCs w:val="21"/>
                <w:highlight w:val="none"/>
              </w:rPr>
            </w:pPr>
          </w:p>
        </w:tc>
      </w:tr>
      <w:tr w14:paraId="149683F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4630C0">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BA8C4F">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B7FE6D">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F1B2F4">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B5363B">
            <w:pPr>
              <w:widowControl/>
              <w:spacing w:line="360" w:lineRule="auto"/>
              <w:contextualSpacing/>
              <w:jc w:val="center"/>
              <w:rPr>
                <w:rFonts w:hint="eastAsia" w:ascii="宋体" w:hAnsi="宋体" w:eastAsia="宋体" w:cs="宋体"/>
                <w:color w:val="auto"/>
                <w:kern w:val="0"/>
                <w:sz w:val="21"/>
                <w:szCs w:val="21"/>
                <w:highlight w:val="none"/>
              </w:rPr>
            </w:pPr>
          </w:p>
        </w:tc>
      </w:tr>
      <w:tr w14:paraId="3DE0BBE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C49A2D">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8627A1">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D394C2">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A4E4E6">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7220E1">
            <w:pPr>
              <w:widowControl/>
              <w:spacing w:line="360" w:lineRule="auto"/>
              <w:contextualSpacing/>
              <w:jc w:val="center"/>
              <w:rPr>
                <w:rFonts w:hint="eastAsia" w:ascii="宋体" w:hAnsi="宋体" w:eastAsia="宋体" w:cs="宋体"/>
                <w:color w:val="auto"/>
                <w:kern w:val="0"/>
                <w:sz w:val="21"/>
                <w:szCs w:val="21"/>
                <w:highlight w:val="none"/>
              </w:rPr>
            </w:pPr>
          </w:p>
        </w:tc>
      </w:tr>
    </w:tbl>
    <w:p w14:paraId="6C84A31C">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7E4F5908">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10ADD7F">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2.本表所指的控股关系仅限于直接控股关系，不包括间接的控股关系。公司实际控制人与公司之间的关系不属于本表所指的直接控股关系。</w:t>
      </w:r>
    </w:p>
    <w:p w14:paraId="073B2055">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3.供应商不存在直接控股股东的，则填“无”。</w:t>
      </w:r>
    </w:p>
    <w:p w14:paraId="105F920B">
      <w:pPr>
        <w:snapToGrid w:val="0"/>
        <w:spacing w:line="360" w:lineRule="auto"/>
        <w:jc w:val="left"/>
        <w:rPr>
          <w:rFonts w:hint="eastAsia" w:ascii="宋体" w:hAnsi="宋体" w:eastAsia="宋体" w:cs="宋体"/>
          <w:color w:val="auto"/>
          <w:sz w:val="21"/>
          <w:szCs w:val="21"/>
          <w:highlight w:val="none"/>
        </w:rPr>
      </w:pPr>
    </w:p>
    <w:p w14:paraId="23106501">
      <w:pPr>
        <w:snapToGrid w:val="0"/>
        <w:spacing w:line="360" w:lineRule="auto"/>
        <w:jc w:val="left"/>
        <w:rPr>
          <w:rFonts w:hint="eastAsia" w:ascii="宋体" w:hAnsi="宋体" w:eastAsia="宋体" w:cs="宋体"/>
          <w:color w:val="auto"/>
          <w:sz w:val="21"/>
          <w:szCs w:val="21"/>
          <w:highlight w:val="none"/>
        </w:rPr>
      </w:pPr>
    </w:p>
    <w:p w14:paraId="405A16DF">
      <w:pPr>
        <w:snapToGrid w:val="0"/>
        <w:spacing w:line="360" w:lineRule="auto"/>
        <w:jc w:val="left"/>
        <w:rPr>
          <w:rFonts w:hint="eastAsia" w:ascii="宋体" w:hAnsi="宋体" w:eastAsia="宋体" w:cs="宋体"/>
          <w:color w:val="auto"/>
          <w:sz w:val="21"/>
          <w:szCs w:val="21"/>
          <w:highlight w:val="none"/>
        </w:rPr>
      </w:pPr>
    </w:p>
    <w:p w14:paraId="73B63FAA">
      <w:pPr>
        <w:snapToGrid w:val="0"/>
        <w:spacing w:before="156" w:beforeLines="50" w:line="360" w:lineRule="auto"/>
        <w:ind w:right="480" w:firstLine="1680" w:firstLineChars="8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2BB21088">
      <w:pPr>
        <w:snapToGrid w:val="0"/>
        <w:spacing w:before="156" w:beforeLines="50" w:after="50" w:line="360" w:lineRule="auto"/>
        <w:ind w:right="480" w:firstLine="2625" w:firstLineChars="12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供应商（盖公章 ）：</w:t>
      </w:r>
      <w:r>
        <w:rPr>
          <w:rFonts w:hint="eastAsia" w:ascii="宋体" w:hAnsi="宋体" w:eastAsia="宋体" w:cs="宋体"/>
          <w:color w:val="auto"/>
          <w:sz w:val="21"/>
          <w:szCs w:val="21"/>
          <w:highlight w:val="none"/>
          <w:u w:val="single"/>
        </w:rPr>
        <w:t xml:space="preserve">                              </w:t>
      </w:r>
    </w:p>
    <w:p w14:paraId="55D0AC65">
      <w:pPr>
        <w:snapToGrid w:val="0"/>
        <w:spacing w:before="156" w:beforeLines="50" w:after="50" w:line="360" w:lineRule="auto"/>
        <w:ind w:right="480" w:firstLine="4620" w:firstLineChars="2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7A169E4F">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15DCBC20">
      <w:pPr>
        <w:spacing w:line="320" w:lineRule="exact"/>
        <w:jc w:val="both"/>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供应商直接管理关系信息表</w:t>
      </w:r>
      <w:r>
        <w:rPr>
          <w:rFonts w:hint="eastAsia"/>
          <w:b/>
          <w:bCs/>
          <w:color w:val="auto"/>
          <w:highlight w:val="none"/>
          <w:lang w:eastAsia="zh-CN"/>
        </w:rPr>
        <w:t>（</w:t>
      </w:r>
      <w:r>
        <w:rPr>
          <w:rFonts w:hint="eastAsia"/>
          <w:b/>
          <w:bCs/>
          <w:color w:val="auto"/>
          <w:highlight w:val="none"/>
          <w:lang w:val="en-US" w:eastAsia="zh-CN"/>
        </w:rPr>
        <w:t>必须提供</w:t>
      </w:r>
      <w:r>
        <w:rPr>
          <w:rFonts w:hint="eastAsia"/>
          <w:b/>
          <w:bCs/>
          <w:color w:val="auto"/>
          <w:highlight w:val="none"/>
          <w:lang w:eastAsia="zh-CN"/>
        </w:rPr>
        <w:t>）</w:t>
      </w:r>
    </w:p>
    <w:p w14:paraId="58077D14">
      <w:pPr>
        <w:snapToGrid w:val="0"/>
        <w:spacing w:line="360" w:lineRule="auto"/>
        <w:jc w:val="center"/>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4003A75">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8DAABC">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A6678">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56C4BD">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8D97D5">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4468EC5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6AED01">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11C423">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26274B">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9140E3">
            <w:pPr>
              <w:widowControl/>
              <w:spacing w:line="360" w:lineRule="auto"/>
              <w:contextualSpacing/>
              <w:jc w:val="center"/>
              <w:rPr>
                <w:rFonts w:hint="eastAsia" w:ascii="宋体" w:hAnsi="宋体" w:eastAsia="宋体" w:cs="宋体"/>
                <w:color w:val="auto"/>
                <w:kern w:val="0"/>
                <w:sz w:val="21"/>
                <w:szCs w:val="21"/>
                <w:highlight w:val="none"/>
              </w:rPr>
            </w:pPr>
          </w:p>
        </w:tc>
      </w:tr>
      <w:tr w14:paraId="4CEF944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06936A">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4FA7AF">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52BD8F">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A4CA78">
            <w:pPr>
              <w:widowControl/>
              <w:spacing w:line="360" w:lineRule="auto"/>
              <w:contextualSpacing/>
              <w:jc w:val="center"/>
              <w:rPr>
                <w:rFonts w:hint="eastAsia" w:ascii="宋体" w:hAnsi="宋体" w:eastAsia="宋体" w:cs="宋体"/>
                <w:color w:val="auto"/>
                <w:kern w:val="0"/>
                <w:sz w:val="21"/>
                <w:szCs w:val="21"/>
                <w:highlight w:val="none"/>
              </w:rPr>
            </w:pPr>
          </w:p>
        </w:tc>
      </w:tr>
      <w:tr w14:paraId="544DC1C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FB1204">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CDD76D">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D9A063">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C22CA5">
            <w:pPr>
              <w:widowControl/>
              <w:spacing w:line="360" w:lineRule="auto"/>
              <w:contextualSpacing/>
              <w:jc w:val="center"/>
              <w:rPr>
                <w:rFonts w:hint="eastAsia" w:ascii="宋体" w:hAnsi="宋体" w:eastAsia="宋体" w:cs="宋体"/>
                <w:color w:val="auto"/>
                <w:kern w:val="0"/>
                <w:sz w:val="21"/>
                <w:szCs w:val="21"/>
                <w:highlight w:val="none"/>
              </w:rPr>
            </w:pPr>
          </w:p>
        </w:tc>
      </w:tr>
      <w:tr w14:paraId="23E54BD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208E">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3092E9">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D73A5C">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9D9390">
            <w:pPr>
              <w:widowControl/>
              <w:spacing w:line="360" w:lineRule="auto"/>
              <w:contextualSpacing/>
              <w:jc w:val="center"/>
              <w:rPr>
                <w:rFonts w:hint="eastAsia" w:ascii="宋体" w:hAnsi="宋体" w:eastAsia="宋体" w:cs="宋体"/>
                <w:color w:val="auto"/>
                <w:kern w:val="0"/>
                <w:sz w:val="21"/>
                <w:szCs w:val="21"/>
                <w:highlight w:val="none"/>
              </w:rPr>
            </w:pPr>
          </w:p>
        </w:tc>
      </w:tr>
    </w:tbl>
    <w:p w14:paraId="3E149133">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632D9CF3">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1.管理关系：是指不具有出资持股关系的其他单位之间存在的管理与被管理关系，如一些上下级关系的事业单位和团体组织。</w:t>
      </w:r>
    </w:p>
    <w:p w14:paraId="1D8BB5BF">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pacing w:val="-6"/>
          <w:sz w:val="21"/>
          <w:szCs w:val="21"/>
          <w:highlight w:val="none"/>
        </w:rPr>
        <w:t>本表所指的管理关系仅限于直接管理关系，不包括间接的管理关系。</w:t>
      </w:r>
    </w:p>
    <w:p w14:paraId="62257DED">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3.供应商不存在直接管理关系的，则填“无”。</w:t>
      </w:r>
    </w:p>
    <w:p w14:paraId="62A7F7DC">
      <w:pPr>
        <w:spacing w:line="360" w:lineRule="auto"/>
        <w:contextualSpacing/>
        <w:jc w:val="left"/>
        <w:rPr>
          <w:rFonts w:hint="eastAsia" w:ascii="宋体" w:hAnsi="宋体" w:eastAsia="宋体" w:cs="宋体"/>
          <w:color w:val="auto"/>
          <w:sz w:val="21"/>
          <w:szCs w:val="21"/>
          <w:highlight w:val="none"/>
        </w:rPr>
      </w:pPr>
    </w:p>
    <w:p w14:paraId="7C55AB55">
      <w:pPr>
        <w:spacing w:line="360" w:lineRule="auto"/>
        <w:contextualSpacing/>
        <w:jc w:val="left"/>
        <w:rPr>
          <w:rFonts w:hint="eastAsia" w:ascii="宋体" w:hAnsi="宋体" w:eastAsia="宋体" w:cs="宋体"/>
          <w:color w:val="auto"/>
          <w:sz w:val="21"/>
          <w:szCs w:val="21"/>
          <w:highlight w:val="none"/>
        </w:rPr>
      </w:pPr>
    </w:p>
    <w:p w14:paraId="255B1D56">
      <w:pPr>
        <w:spacing w:line="360" w:lineRule="auto"/>
        <w:contextualSpacing/>
        <w:jc w:val="left"/>
        <w:rPr>
          <w:rFonts w:hint="eastAsia" w:ascii="宋体" w:hAnsi="宋体" w:eastAsia="宋体" w:cs="宋体"/>
          <w:color w:val="auto"/>
          <w:sz w:val="21"/>
          <w:szCs w:val="21"/>
          <w:highlight w:val="none"/>
        </w:rPr>
      </w:pPr>
    </w:p>
    <w:p w14:paraId="4682DF2B">
      <w:pPr>
        <w:spacing w:line="360" w:lineRule="auto"/>
        <w:contextualSpacing/>
        <w:jc w:val="left"/>
        <w:rPr>
          <w:rFonts w:hint="eastAsia" w:ascii="宋体" w:hAnsi="宋体" w:eastAsia="宋体" w:cs="宋体"/>
          <w:color w:val="auto"/>
          <w:sz w:val="21"/>
          <w:szCs w:val="21"/>
          <w:highlight w:val="none"/>
        </w:rPr>
      </w:pPr>
    </w:p>
    <w:p w14:paraId="7E443BCA">
      <w:pPr>
        <w:spacing w:line="360" w:lineRule="auto"/>
        <w:contextualSpacing/>
        <w:jc w:val="left"/>
        <w:rPr>
          <w:rFonts w:hint="eastAsia" w:ascii="宋体" w:hAnsi="宋体" w:eastAsia="宋体" w:cs="宋体"/>
          <w:color w:val="auto"/>
          <w:sz w:val="21"/>
          <w:szCs w:val="21"/>
          <w:highlight w:val="none"/>
        </w:rPr>
      </w:pPr>
    </w:p>
    <w:p w14:paraId="01DC7B3D">
      <w:pPr>
        <w:spacing w:line="360" w:lineRule="auto"/>
        <w:contextualSpacing/>
        <w:jc w:val="left"/>
        <w:rPr>
          <w:rFonts w:hint="eastAsia" w:ascii="宋体" w:hAnsi="宋体" w:eastAsia="宋体" w:cs="宋体"/>
          <w:color w:val="auto"/>
          <w:sz w:val="21"/>
          <w:szCs w:val="21"/>
          <w:highlight w:val="none"/>
        </w:rPr>
      </w:pPr>
    </w:p>
    <w:p w14:paraId="0F09AA59">
      <w:pPr>
        <w:spacing w:line="360" w:lineRule="auto"/>
        <w:ind w:right="480" w:firstLine="1890" w:firstLineChars="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43722C80">
      <w:pPr>
        <w:spacing w:line="360" w:lineRule="auto"/>
        <w:ind w:right="480" w:firstLine="2940" w:firstLineChars="14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供应商（盖公章）：</w:t>
      </w:r>
      <w:r>
        <w:rPr>
          <w:rFonts w:hint="eastAsia" w:ascii="宋体" w:hAnsi="宋体" w:eastAsia="宋体" w:cs="宋体"/>
          <w:color w:val="auto"/>
          <w:sz w:val="21"/>
          <w:szCs w:val="21"/>
          <w:highlight w:val="none"/>
          <w:u w:val="single"/>
        </w:rPr>
        <w:t xml:space="preserve">                </w:t>
      </w:r>
    </w:p>
    <w:p w14:paraId="79C64C91">
      <w:pPr>
        <w:spacing w:line="360" w:lineRule="auto"/>
        <w:ind w:right="480" w:firstLine="210" w:firstLineChars="10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44BF7F0E">
      <w:pPr>
        <w:rPr>
          <w:b/>
          <w:bCs/>
          <w:color w:val="auto"/>
          <w:highlight w:val="none"/>
        </w:rPr>
      </w:pPr>
      <w:r>
        <w:rPr>
          <w:rFonts w:ascii="宋体" w:hAnsi="宋体"/>
          <w:color w:val="auto"/>
          <w:sz w:val="28"/>
          <w:szCs w:val="28"/>
          <w:highlight w:val="none"/>
        </w:rPr>
        <w:br w:type="page"/>
      </w:r>
      <w:r>
        <w:rPr>
          <w:rFonts w:hint="eastAsia"/>
          <w:b/>
          <w:bCs/>
          <w:color w:val="auto"/>
          <w:highlight w:val="none"/>
          <w:lang w:val="en-US" w:eastAsia="zh-CN"/>
        </w:rPr>
        <w:t>3.</w:t>
      </w:r>
      <w:r>
        <w:rPr>
          <w:rFonts w:hint="eastAsia"/>
          <w:b/>
          <w:bCs/>
          <w:color w:val="auto"/>
          <w:highlight w:val="none"/>
          <w:lang w:val="en-US" w:eastAsia="zh-CN"/>
        </w:rPr>
        <w:t>响应</w:t>
      </w:r>
      <w:r>
        <w:rPr>
          <w:b/>
          <w:bCs/>
          <w:color w:val="auto"/>
          <w:highlight w:val="none"/>
        </w:rPr>
        <w:t>承诺函（格式）（必须提供）</w:t>
      </w:r>
    </w:p>
    <w:p w14:paraId="07C212F8">
      <w:pPr>
        <w:spacing w:line="240" w:lineRule="exact"/>
        <w:jc w:val="center"/>
        <w:rPr>
          <w:color w:val="auto"/>
          <w:sz w:val="32"/>
          <w:szCs w:val="32"/>
          <w:highlight w:val="none"/>
        </w:rPr>
      </w:pPr>
    </w:p>
    <w:p w14:paraId="7FDDA140">
      <w:pPr>
        <w:spacing w:line="400" w:lineRule="exact"/>
        <w:rPr>
          <w:color w:val="auto"/>
          <w:highlight w:val="none"/>
        </w:rPr>
      </w:pPr>
      <w:r>
        <w:rPr>
          <w:color w:val="auto"/>
          <w:highlight w:val="none"/>
        </w:rPr>
        <w:t>致：</w:t>
      </w:r>
      <w:r>
        <w:rPr>
          <w:color w:val="auto"/>
          <w:highlight w:val="none"/>
          <w:u w:val="single"/>
        </w:rPr>
        <w:t xml:space="preserve">桂林银行股份有限公司 </w:t>
      </w:r>
    </w:p>
    <w:p w14:paraId="56BBA74A">
      <w:pPr>
        <w:spacing w:line="400" w:lineRule="exact"/>
        <w:ind w:firstLine="420"/>
        <w:rPr>
          <w:color w:val="auto"/>
          <w:highlight w:val="none"/>
        </w:rPr>
      </w:pPr>
      <w:r>
        <w:rPr>
          <w:color w:val="auto"/>
          <w:highlight w:val="none"/>
        </w:rPr>
        <w:t>根据贵行</w:t>
      </w:r>
      <w:r>
        <w:rPr>
          <w:color w:val="auto"/>
          <w:highlight w:val="none"/>
          <w:u w:val="single"/>
        </w:rPr>
        <w:t xml:space="preserve"> </w:t>
      </w:r>
      <w:r>
        <w:rPr>
          <w:rFonts w:hint="eastAsia"/>
          <w:color w:val="auto"/>
          <w:highlight w:val="none"/>
          <w:u w:val="single"/>
          <w:lang w:val="en-US" w:eastAsia="zh-CN"/>
        </w:rPr>
        <w:t>桂林银行</w:t>
      </w:r>
      <w:r>
        <w:rPr>
          <w:rFonts w:hint="eastAsia"/>
          <w:color w:val="auto"/>
          <w:highlight w:val="none"/>
          <w:u w:val="single"/>
        </w:rPr>
        <w:t>中国-东盟金融人工智能服务共享网络节点建设项目</w:t>
      </w:r>
      <w:r>
        <w:rPr>
          <w:color w:val="auto"/>
          <w:highlight w:val="none"/>
          <w:u w:val="single"/>
        </w:rPr>
        <w:t xml:space="preserve"> </w:t>
      </w:r>
      <w:r>
        <w:rPr>
          <w:color w:val="auto"/>
          <w:highlight w:val="none"/>
        </w:rPr>
        <w:t>磋商文件，项目编号</w:t>
      </w:r>
      <w:r>
        <w:rPr>
          <w:color w:val="auto"/>
          <w:highlight w:val="none"/>
          <w:u w:val="single"/>
        </w:rPr>
        <w:t xml:space="preserve"> </w:t>
      </w:r>
      <w:r>
        <w:rPr>
          <w:rFonts w:hint="eastAsia"/>
          <w:color w:val="auto"/>
          <w:highlight w:val="none"/>
          <w:u w:val="single"/>
        </w:rPr>
        <w:t>GYJC202</w:t>
      </w:r>
      <w:r>
        <w:rPr>
          <w:rFonts w:hint="eastAsia"/>
          <w:color w:val="auto"/>
          <w:highlight w:val="none"/>
          <w:u w:val="single"/>
          <w:lang w:val="en-US" w:eastAsia="zh-CN"/>
        </w:rPr>
        <w:t>6</w:t>
      </w:r>
      <w:r>
        <w:rPr>
          <w:rFonts w:hint="eastAsia"/>
          <w:color w:val="auto"/>
          <w:highlight w:val="none"/>
          <w:u w:val="single"/>
          <w:lang w:val="en-US" w:eastAsia="zh-CN"/>
        </w:rPr>
        <w:t>014</w:t>
      </w:r>
      <w:r>
        <w:rPr>
          <w:rFonts w:hint="eastAsia"/>
          <w:color w:val="auto"/>
          <w:highlight w:val="none"/>
          <w:u w:val="single"/>
          <w:lang w:val="en-US" w:eastAsia="zh-CN"/>
        </w:rPr>
        <w:t xml:space="preserve"> </w:t>
      </w:r>
      <w:r>
        <w:rPr>
          <w:color w:val="auto"/>
          <w:highlight w:val="none"/>
        </w:rPr>
        <w:t>，签字代表</w:t>
      </w:r>
      <w:r>
        <w:rPr>
          <w:color w:val="auto"/>
          <w:highlight w:val="none"/>
          <w:u w:val="single"/>
        </w:rPr>
        <w:t xml:space="preserve">          </w:t>
      </w:r>
      <w:r>
        <w:rPr>
          <w:color w:val="auto"/>
          <w:highlight w:val="none"/>
        </w:rPr>
        <w:t>（姓名）经正式授权并代表</w:t>
      </w:r>
      <w:r>
        <w:rPr>
          <w:rFonts w:hint="eastAsia"/>
          <w:color w:val="auto"/>
          <w:highlight w:val="none"/>
          <w:lang w:eastAsia="zh-CN"/>
        </w:rPr>
        <w:t>供应商</w:t>
      </w:r>
      <w:r>
        <w:rPr>
          <w:color w:val="auto"/>
          <w:highlight w:val="none"/>
          <w:u w:val="single"/>
        </w:rPr>
        <w:t xml:space="preserve">         （</w:t>
      </w:r>
      <w:r>
        <w:rPr>
          <w:color w:val="auto"/>
          <w:highlight w:val="none"/>
        </w:rPr>
        <w:t>单位名称），提交响应文件正本一份。</w:t>
      </w:r>
    </w:p>
    <w:p w14:paraId="7B863353">
      <w:pPr>
        <w:spacing w:line="400" w:lineRule="exact"/>
        <w:ind w:firstLine="420"/>
        <w:rPr>
          <w:color w:val="auto"/>
          <w:highlight w:val="none"/>
        </w:rPr>
      </w:pPr>
      <w:r>
        <w:rPr>
          <w:color w:val="auto"/>
          <w:highlight w:val="none"/>
        </w:rPr>
        <w:t>据此函，签字代表宣布同意如下：</w:t>
      </w:r>
    </w:p>
    <w:p w14:paraId="0EEBA052">
      <w:pPr>
        <w:spacing w:line="400" w:lineRule="exact"/>
        <w:ind w:firstLine="420" w:firstLineChars="200"/>
        <w:rPr>
          <w:color w:val="auto"/>
          <w:highlight w:val="none"/>
        </w:rPr>
      </w:pPr>
      <w:r>
        <w:rPr>
          <w:color w:val="auto"/>
          <w:highlight w:val="none"/>
        </w:rPr>
        <w:t>1、我方承诺已具备磋商文件规定的</w:t>
      </w:r>
      <w:r>
        <w:rPr>
          <w:rFonts w:hint="eastAsia"/>
          <w:color w:val="auto"/>
          <w:highlight w:val="none"/>
          <w:lang w:eastAsia="zh-CN"/>
        </w:rPr>
        <w:t>供应商</w:t>
      </w:r>
      <w:r>
        <w:rPr>
          <w:color w:val="auto"/>
          <w:highlight w:val="none"/>
        </w:rPr>
        <w:t>资格条件。</w:t>
      </w:r>
    </w:p>
    <w:p w14:paraId="7F5F8759">
      <w:pPr>
        <w:spacing w:line="400" w:lineRule="exact"/>
        <w:ind w:firstLine="420" w:firstLineChars="200"/>
        <w:rPr>
          <w:color w:val="auto"/>
          <w:highlight w:val="none"/>
        </w:rPr>
      </w:pPr>
      <w:r>
        <w:rPr>
          <w:color w:val="auto"/>
          <w:highlight w:val="none"/>
        </w:rPr>
        <w:t>2、我方已详细审核磋商文件，包括修改文件（如有的话）和有关附件，将自行承担因对全部磋商文件理解不正确或误解而产生的相应后果。</w:t>
      </w:r>
    </w:p>
    <w:p w14:paraId="04251C0E">
      <w:pPr>
        <w:spacing w:line="400" w:lineRule="exact"/>
        <w:ind w:firstLine="420" w:firstLineChars="200"/>
        <w:rPr>
          <w:color w:val="auto"/>
          <w:highlight w:val="none"/>
        </w:rPr>
      </w:pPr>
      <w:r>
        <w:rPr>
          <w:color w:val="auto"/>
          <w:highlight w:val="none"/>
        </w:rPr>
        <w:t>3、如我方中标：</w:t>
      </w:r>
    </w:p>
    <w:p w14:paraId="457139BE">
      <w:pPr>
        <w:spacing w:line="400" w:lineRule="exact"/>
        <w:ind w:firstLine="420"/>
        <w:rPr>
          <w:color w:val="auto"/>
          <w:highlight w:val="none"/>
        </w:rPr>
      </w:pPr>
      <w:r>
        <w:rPr>
          <w:color w:val="auto"/>
          <w:highlight w:val="none"/>
        </w:rPr>
        <w:t>（1）我方承诺在收到合作通知书后，在合作通知书规定的期限内与采购人签订合同。</w:t>
      </w:r>
    </w:p>
    <w:p w14:paraId="49738076">
      <w:pPr>
        <w:spacing w:line="400" w:lineRule="exact"/>
        <w:ind w:firstLine="420"/>
        <w:rPr>
          <w:color w:val="auto"/>
          <w:highlight w:val="none"/>
        </w:rPr>
      </w:pPr>
      <w:r>
        <w:rPr>
          <w:color w:val="auto"/>
          <w:highlight w:val="none"/>
        </w:rPr>
        <w:t>（2）我方承诺按照磋商文件规定递交履约担保。</w:t>
      </w:r>
    </w:p>
    <w:p w14:paraId="11287A8C">
      <w:pPr>
        <w:spacing w:line="400" w:lineRule="exact"/>
        <w:ind w:firstLine="420"/>
        <w:rPr>
          <w:color w:val="auto"/>
          <w:highlight w:val="none"/>
        </w:rPr>
      </w:pPr>
      <w:r>
        <w:rPr>
          <w:color w:val="auto"/>
          <w:highlight w:val="none"/>
        </w:rPr>
        <w:t>（3）我方承诺本响应文件至本项目合同履行完毕止均保持有效，按磋商文件及政府采购法律、法规的规定履行合同责任和义务。</w:t>
      </w:r>
    </w:p>
    <w:p w14:paraId="7BB9E935">
      <w:pPr>
        <w:spacing w:line="400" w:lineRule="exact"/>
        <w:ind w:firstLine="420"/>
        <w:rPr>
          <w:color w:val="auto"/>
          <w:highlight w:val="none"/>
        </w:rPr>
      </w:pPr>
      <w:r>
        <w:rPr>
          <w:color w:val="auto"/>
          <w:highlight w:val="none"/>
        </w:rPr>
        <w:t>（4）我方郑重承诺：将全部满足磋商文件中的各项实质性要求，如果发现响应文件中另有与磋商文件中不一致的响应或没有响应，同意采购人有权要求</w:t>
      </w:r>
      <w:r>
        <w:rPr>
          <w:rFonts w:hint="eastAsia"/>
          <w:color w:val="auto"/>
          <w:highlight w:val="none"/>
        </w:rPr>
        <w:t>我方</w:t>
      </w:r>
      <w:r>
        <w:rPr>
          <w:color w:val="auto"/>
          <w:highlight w:val="none"/>
        </w:rPr>
        <w:t>按照磋商文件的要求提供设备或服务。</w:t>
      </w:r>
      <w:r>
        <w:rPr>
          <w:rFonts w:hint="eastAsia"/>
          <w:color w:val="auto"/>
          <w:highlight w:val="none"/>
        </w:rPr>
        <w:t>我方</w:t>
      </w:r>
      <w:r>
        <w:rPr>
          <w:color w:val="auto"/>
          <w:highlight w:val="none"/>
        </w:rPr>
        <w:t>并同意按照磋商文件的规定履行自己的责任和义务。</w:t>
      </w:r>
    </w:p>
    <w:p w14:paraId="7FEE7607">
      <w:pPr>
        <w:spacing w:line="400" w:lineRule="exact"/>
        <w:ind w:firstLine="420"/>
        <w:rPr>
          <w:color w:val="auto"/>
          <w:highlight w:val="none"/>
        </w:rPr>
      </w:pPr>
      <w:r>
        <w:rPr>
          <w:color w:val="auto"/>
          <w:highlight w:val="none"/>
        </w:rPr>
        <w:t>（5）我方已详细审查全部磋商文件，包括修改文件（如有的话）以及全部参考资料和有关附件。我们完全理解并同意放弃对这方面有不明及误解的权利。</w:t>
      </w:r>
    </w:p>
    <w:p w14:paraId="6C4C2E82">
      <w:pPr>
        <w:spacing w:line="400" w:lineRule="exact"/>
        <w:ind w:firstLine="420"/>
        <w:rPr>
          <w:color w:val="auto"/>
          <w:highlight w:val="none"/>
        </w:rPr>
      </w:pPr>
      <w:r>
        <w:rPr>
          <w:color w:val="auto"/>
          <w:highlight w:val="none"/>
        </w:rPr>
        <w:t>（6）我方响应文件有效期为</w:t>
      </w:r>
      <w:r>
        <w:rPr>
          <w:rFonts w:hint="eastAsia"/>
          <w:color w:val="auto"/>
          <w:highlight w:val="none"/>
          <w:lang w:eastAsia="zh-CN"/>
        </w:rPr>
        <w:t>竞标</w:t>
      </w:r>
      <w:r>
        <w:rPr>
          <w:color w:val="auto"/>
          <w:highlight w:val="none"/>
        </w:rPr>
        <w:t>截止日期后</w:t>
      </w:r>
      <w:r>
        <w:rPr>
          <w:color w:val="auto"/>
          <w:highlight w:val="none"/>
          <w:u w:val="single"/>
        </w:rPr>
        <w:t xml:space="preserve"> </w:t>
      </w:r>
      <w:r>
        <w:rPr>
          <w:rFonts w:hint="eastAsia"/>
          <w:color w:val="auto"/>
          <w:highlight w:val="none"/>
          <w:u w:val="single"/>
        </w:rPr>
        <w:t>60</w:t>
      </w:r>
      <w:r>
        <w:rPr>
          <w:color w:val="auto"/>
          <w:highlight w:val="none"/>
          <w:u w:val="single"/>
        </w:rPr>
        <w:t xml:space="preserve"> </w:t>
      </w:r>
      <w:r>
        <w:rPr>
          <w:color w:val="auto"/>
          <w:highlight w:val="none"/>
        </w:rPr>
        <w:t>日历天，在</w:t>
      </w:r>
      <w:r>
        <w:rPr>
          <w:rFonts w:hint="eastAsia"/>
          <w:color w:val="auto"/>
          <w:highlight w:val="none"/>
          <w:lang w:eastAsia="zh-CN"/>
        </w:rPr>
        <w:t>竞标</w:t>
      </w:r>
      <w:r>
        <w:rPr>
          <w:color w:val="auto"/>
          <w:highlight w:val="none"/>
        </w:rPr>
        <w:t>有效期内不撤销</w:t>
      </w:r>
      <w:r>
        <w:rPr>
          <w:rFonts w:hint="eastAsia"/>
          <w:color w:val="auto"/>
          <w:highlight w:val="none"/>
          <w:lang w:val="en-US" w:eastAsia="zh-CN"/>
        </w:rPr>
        <w:t>响应</w:t>
      </w:r>
      <w:r>
        <w:rPr>
          <w:color w:val="auto"/>
          <w:highlight w:val="none"/>
        </w:rPr>
        <w:t>文件</w:t>
      </w:r>
      <w:r>
        <w:rPr>
          <w:rFonts w:hint="eastAsia"/>
          <w:color w:val="auto"/>
          <w:highlight w:val="none"/>
        </w:rPr>
        <w:t>，若我方中标则响应文件有效期自响应文件提交截止之日起至合履行完毕止均应保持有效</w:t>
      </w:r>
      <w:r>
        <w:rPr>
          <w:color w:val="auto"/>
          <w:highlight w:val="none"/>
        </w:rPr>
        <w:t>。</w:t>
      </w:r>
    </w:p>
    <w:p w14:paraId="3BF08385">
      <w:pPr>
        <w:spacing w:line="400" w:lineRule="exact"/>
        <w:ind w:firstLine="420"/>
        <w:rPr>
          <w:color w:val="auto"/>
          <w:highlight w:val="none"/>
        </w:rPr>
      </w:pPr>
      <w:r>
        <w:rPr>
          <w:color w:val="auto"/>
          <w:highlight w:val="none"/>
        </w:rPr>
        <w:t>与本磋商有关的正式通讯地址为：</w:t>
      </w:r>
    </w:p>
    <w:p w14:paraId="33D27775">
      <w:pPr>
        <w:spacing w:line="400" w:lineRule="exact"/>
        <w:ind w:firstLine="420"/>
        <w:rPr>
          <w:color w:val="auto"/>
          <w:highlight w:val="none"/>
          <w:u w:val="single"/>
        </w:rPr>
      </w:pPr>
      <w:r>
        <w:rPr>
          <w:color w:val="auto"/>
          <w:highlight w:val="none"/>
        </w:rPr>
        <w:t>地址：邮编：电话、传真：</w:t>
      </w:r>
    </w:p>
    <w:p w14:paraId="37EE61EA">
      <w:pPr>
        <w:spacing w:line="400" w:lineRule="exact"/>
        <w:ind w:firstLine="420"/>
        <w:rPr>
          <w:color w:val="auto"/>
          <w:highlight w:val="none"/>
        </w:rPr>
      </w:pPr>
      <w:r>
        <w:rPr>
          <w:color w:val="auto"/>
          <w:highlight w:val="none"/>
        </w:rPr>
        <w:t>开户名称：</w:t>
      </w:r>
      <w:r>
        <w:rPr>
          <w:color w:val="auto"/>
          <w:highlight w:val="none"/>
          <w:u w:val="single"/>
        </w:rPr>
        <w:t xml:space="preserve">               </w:t>
      </w:r>
    </w:p>
    <w:p w14:paraId="37868321">
      <w:pPr>
        <w:spacing w:line="400" w:lineRule="exact"/>
        <w:ind w:firstLine="420"/>
        <w:rPr>
          <w:color w:val="auto"/>
          <w:highlight w:val="none"/>
        </w:rPr>
      </w:pPr>
      <w:r>
        <w:rPr>
          <w:color w:val="auto"/>
          <w:highlight w:val="none"/>
        </w:rPr>
        <w:t>开户银行：</w:t>
      </w:r>
      <w:r>
        <w:rPr>
          <w:color w:val="auto"/>
          <w:highlight w:val="none"/>
          <w:u w:val="single"/>
        </w:rPr>
        <w:t xml:space="preserve">             </w:t>
      </w:r>
    </w:p>
    <w:p w14:paraId="6CDA6215">
      <w:pPr>
        <w:spacing w:line="400" w:lineRule="exact"/>
        <w:ind w:firstLine="420"/>
        <w:rPr>
          <w:color w:val="auto"/>
          <w:highlight w:val="none"/>
        </w:rPr>
      </w:pPr>
      <w:r>
        <w:rPr>
          <w:color w:val="auto"/>
          <w:highlight w:val="none"/>
        </w:rPr>
        <w:t>账号：</w:t>
      </w:r>
      <w:r>
        <w:rPr>
          <w:color w:val="auto"/>
          <w:highlight w:val="none"/>
          <w:u w:val="single"/>
        </w:rPr>
        <w:t xml:space="preserve">             </w:t>
      </w:r>
    </w:p>
    <w:p w14:paraId="228CEEAA">
      <w:pPr>
        <w:spacing w:line="400" w:lineRule="exact"/>
        <w:ind w:firstLine="420"/>
        <w:rPr>
          <w:color w:val="auto"/>
          <w:highlight w:val="none"/>
        </w:rPr>
      </w:pPr>
      <w:r>
        <w:rPr>
          <w:rFonts w:hint="eastAsia"/>
          <w:color w:val="auto"/>
          <w:highlight w:val="none"/>
          <w:lang w:eastAsia="zh-CN"/>
        </w:rPr>
        <w:t>供应商</w:t>
      </w:r>
      <w:r>
        <w:rPr>
          <w:color w:val="auto"/>
          <w:highlight w:val="none"/>
        </w:rPr>
        <w:t>（公章）：</w:t>
      </w:r>
      <w:r>
        <w:rPr>
          <w:color w:val="auto"/>
          <w:highlight w:val="none"/>
          <w:u w:val="single"/>
        </w:rPr>
        <w:t xml:space="preserve">          </w:t>
      </w:r>
    </w:p>
    <w:p w14:paraId="1D4E55DC">
      <w:pPr>
        <w:spacing w:line="400" w:lineRule="exact"/>
        <w:ind w:firstLine="420"/>
        <w:rPr>
          <w:color w:val="auto"/>
          <w:highlight w:val="none"/>
          <w:u w:val="single"/>
        </w:rPr>
      </w:pPr>
      <w:r>
        <w:rPr>
          <w:color w:val="auto"/>
          <w:highlight w:val="none"/>
        </w:rPr>
        <w:t>法定代表人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1F27C491">
      <w:pPr>
        <w:spacing w:line="400" w:lineRule="exact"/>
        <w:ind w:firstLine="420"/>
        <w:rPr>
          <w:color w:val="auto"/>
          <w:highlight w:val="none"/>
        </w:rPr>
      </w:pPr>
      <w:r>
        <w:rPr>
          <w:color w:val="auto"/>
          <w:highlight w:val="none"/>
        </w:rPr>
        <w:t>磋商日期：</w:t>
      </w:r>
    </w:p>
    <w:p w14:paraId="0C11256F">
      <w:pPr>
        <w:spacing w:line="400" w:lineRule="exact"/>
        <w:ind w:firstLine="420" w:firstLineChars="200"/>
        <w:rPr>
          <w:color w:val="auto"/>
          <w:highlight w:val="none"/>
        </w:rPr>
      </w:pPr>
      <w:r>
        <w:rPr>
          <w:color w:val="auto"/>
          <w:highlight w:val="none"/>
        </w:rPr>
        <w:t>注：未按照本报价函（格式）要求填报的报价函将被视为非实质性响应磋商要求，从而导致该磋商被拒绝。</w:t>
      </w:r>
    </w:p>
    <w:p w14:paraId="383717E7">
      <w:pPr>
        <w:pStyle w:val="3"/>
        <w:jc w:val="center"/>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14:paraId="7E635FAD">
      <w:pPr>
        <w:pStyle w:val="3"/>
        <w:spacing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bCs w:val="0"/>
          <w:color w:val="auto"/>
          <w:kern w:val="0"/>
          <w:sz w:val="21"/>
          <w:szCs w:val="21"/>
          <w:highlight w:val="none"/>
          <w:lang w:val="en-US" w:eastAsia="zh-CN"/>
        </w:rPr>
        <w:t>4.</w:t>
      </w:r>
      <w:r>
        <w:rPr>
          <w:rFonts w:ascii="Times New Roman" w:hAnsi="Times New Roman" w:eastAsia="宋体" w:cs="Times New Roman"/>
          <w:bCs w:val="0"/>
          <w:color w:val="auto"/>
          <w:kern w:val="0"/>
          <w:sz w:val="21"/>
          <w:szCs w:val="21"/>
          <w:highlight w:val="none"/>
        </w:rPr>
        <w:t>报价表（必须提供）</w:t>
      </w:r>
    </w:p>
    <w:p w14:paraId="3F881CDA">
      <w:pPr>
        <w:pStyle w:val="14"/>
        <w:spacing w:line="400" w:lineRule="exact"/>
        <w:jc w:val="center"/>
        <w:rPr>
          <w:color w:val="auto"/>
          <w:sz w:val="24"/>
          <w:szCs w:val="24"/>
          <w:highlight w:val="none"/>
        </w:rPr>
      </w:pPr>
      <w:r>
        <w:rPr>
          <w:b/>
          <w:color w:val="auto"/>
          <w:kern w:val="0"/>
          <w:highlight w:val="none"/>
        </w:rPr>
        <w:t>报价表</w:t>
      </w:r>
    </w:p>
    <w:p w14:paraId="6A814863">
      <w:pPr>
        <w:pStyle w:val="14"/>
        <w:spacing w:line="400" w:lineRule="exact"/>
        <w:rPr>
          <w:color w:val="auto"/>
          <w:sz w:val="24"/>
          <w:szCs w:val="24"/>
          <w:highlight w:val="none"/>
        </w:rPr>
      </w:pPr>
      <w:r>
        <w:rPr>
          <w:rFonts w:hint="eastAsia"/>
          <w:color w:val="auto"/>
          <w:sz w:val="24"/>
          <w:szCs w:val="24"/>
          <w:highlight w:val="none"/>
          <w:lang w:eastAsia="zh-CN"/>
        </w:rPr>
        <w:t>竞标</w:t>
      </w:r>
      <w:r>
        <w:rPr>
          <w:color w:val="auto"/>
          <w:sz w:val="24"/>
          <w:szCs w:val="24"/>
          <w:highlight w:val="none"/>
        </w:rPr>
        <w:t>单位名称：</w:t>
      </w:r>
    </w:p>
    <w:p w14:paraId="7C88A6B8">
      <w:pPr>
        <w:pStyle w:val="14"/>
        <w:spacing w:line="400" w:lineRule="exact"/>
        <w:rPr>
          <w:color w:val="auto"/>
          <w:sz w:val="24"/>
          <w:szCs w:val="24"/>
          <w:highlight w:val="none"/>
        </w:rPr>
      </w:pPr>
      <w:r>
        <w:rPr>
          <w:color w:val="auto"/>
          <w:sz w:val="24"/>
          <w:szCs w:val="24"/>
          <w:highlight w:val="none"/>
        </w:rPr>
        <w:t>项目名称：</w:t>
      </w:r>
      <w:r>
        <w:rPr>
          <w:rFonts w:hint="eastAsia"/>
          <w:color w:val="auto"/>
          <w:sz w:val="24"/>
          <w:szCs w:val="24"/>
          <w:highlight w:val="none"/>
          <w:lang w:val="en-US" w:eastAsia="zh-CN"/>
        </w:rPr>
        <w:t>桂林银行</w:t>
      </w:r>
      <w:r>
        <w:rPr>
          <w:rFonts w:hint="eastAsia"/>
          <w:color w:val="auto"/>
          <w:sz w:val="24"/>
          <w:szCs w:val="24"/>
          <w:highlight w:val="none"/>
        </w:rPr>
        <w:t>中国-东盟金融人工智能服务共享网络节点建设项目</w:t>
      </w:r>
    </w:p>
    <w:p w14:paraId="6BBAD6CF">
      <w:pPr>
        <w:pStyle w:val="14"/>
        <w:spacing w:line="400" w:lineRule="exact"/>
        <w:rPr>
          <w:rFonts w:hint="default" w:eastAsia="宋体"/>
          <w:color w:val="auto"/>
          <w:sz w:val="24"/>
          <w:szCs w:val="24"/>
          <w:highlight w:val="none"/>
          <w:lang w:val="en-US" w:eastAsia="zh-CN"/>
        </w:rPr>
      </w:pPr>
      <w:r>
        <w:rPr>
          <w:color w:val="auto"/>
          <w:sz w:val="24"/>
          <w:szCs w:val="24"/>
          <w:highlight w:val="none"/>
        </w:rPr>
        <w:t>项目编号：GYJC20</w:t>
      </w:r>
      <w:r>
        <w:rPr>
          <w:rFonts w:hint="eastAsia"/>
          <w:color w:val="auto"/>
          <w:sz w:val="24"/>
          <w:szCs w:val="24"/>
          <w:highlight w:val="none"/>
          <w:lang w:val="en-US" w:eastAsia="zh-CN"/>
        </w:rPr>
        <w:t>26</w:t>
      </w:r>
      <w:r>
        <w:rPr>
          <w:rFonts w:hint="eastAsia"/>
          <w:color w:val="auto"/>
          <w:sz w:val="24"/>
          <w:szCs w:val="24"/>
          <w:highlight w:val="none"/>
          <w:lang w:val="en-US" w:eastAsia="zh-CN"/>
        </w:rPr>
        <w:t>014</w:t>
      </w:r>
    </w:p>
    <w:tbl>
      <w:tblPr>
        <w:tblStyle w:val="42"/>
        <w:tblW w:w="103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9"/>
        <w:gridCol w:w="1444"/>
        <w:gridCol w:w="735"/>
        <w:gridCol w:w="1270"/>
        <w:gridCol w:w="1190"/>
        <w:gridCol w:w="1711"/>
        <w:gridCol w:w="1049"/>
        <w:gridCol w:w="2207"/>
      </w:tblGrid>
      <w:tr w14:paraId="201358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739" w:type="dxa"/>
            <w:shd w:val="clear" w:color="000000" w:fill="D9D9D9"/>
            <w:noWrap w:val="0"/>
            <w:vAlign w:val="center"/>
          </w:tcPr>
          <w:p w14:paraId="496C387B">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序号</w:t>
            </w:r>
          </w:p>
        </w:tc>
        <w:tc>
          <w:tcPr>
            <w:tcW w:w="1444" w:type="dxa"/>
            <w:shd w:val="clear" w:color="000000" w:fill="D9D9D9"/>
            <w:noWrap w:val="0"/>
            <w:vAlign w:val="center"/>
          </w:tcPr>
          <w:p w14:paraId="544706A7">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项目内容</w:t>
            </w:r>
          </w:p>
        </w:tc>
        <w:tc>
          <w:tcPr>
            <w:tcW w:w="735" w:type="dxa"/>
            <w:shd w:val="clear" w:color="000000" w:fill="D9D9D9"/>
            <w:noWrap w:val="0"/>
            <w:vAlign w:val="center"/>
          </w:tcPr>
          <w:p w14:paraId="0B65B194">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单位</w:t>
            </w:r>
          </w:p>
        </w:tc>
        <w:tc>
          <w:tcPr>
            <w:tcW w:w="1270" w:type="dxa"/>
            <w:shd w:val="clear" w:color="000000" w:fill="D9D9D9"/>
            <w:noWrap w:val="0"/>
            <w:vAlign w:val="center"/>
          </w:tcPr>
          <w:p w14:paraId="7F2FBF13">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预估数量</w:t>
            </w:r>
          </w:p>
        </w:tc>
        <w:tc>
          <w:tcPr>
            <w:tcW w:w="1190" w:type="dxa"/>
            <w:shd w:val="clear" w:color="000000" w:fill="D9D9D9"/>
            <w:noWrap w:val="0"/>
            <w:vAlign w:val="center"/>
          </w:tcPr>
          <w:p w14:paraId="77D26271">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单价（元）</w:t>
            </w:r>
          </w:p>
        </w:tc>
        <w:tc>
          <w:tcPr>
            <w:tcW w:w="1711" w:type="dxa"/>
            <w:shd w:val="clear" w:color="000000" w:fill="D9D9D9"/>
            <w:noWrap w:val="0"/>
            <w:vAlign w:val="center"/>
          </w:tcPr>
          <w:p w14:paraId="55A0A2B2">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小计</w:t>
            </w:r>
          </w:p>
        </w:tc>
        <w:tc>
          <w:tcPr>
            <w:tcW w:w="1049" w:type="dxa"/>
            <w:shd w:val="clear" w:color="000000" w:fill="D9D9D9"/>
            <w:noWrap w:val="0"/>
            <w:vAlign w:val="center"/>
          </w:tcPr>
          <w:p w14:paraId="5DFED15C">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备注</w:t>
            </w:r>
          </w:p>
        </w:tc>
        <w:tc>
          <w:tcPr>
            <w:tcW w:w="2207" w:type="dxa"/>
            <w:shd w:val="clear" w:color="000000" w:fill="D9D9D9"/>
            <w:noWrap w:val="0"/>
            <w:vAlign w:val="center"/>
          </w:tcPr>
          <w:p w14:paraId="3008F904">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最高投标单价（元）</w:t>
            </w:r>
          </w:p>
        </w:tc>
      </w:tr>
      <w:tr w14:paraId="601970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739" w:type="dxa"/>
            <w:noWrap w:val="0"/>
            <w:vAlign w:val="center"/>
          </w:tcPr>
          <w:p w14:paraId="0F6670EF">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1</w:t>
            </w:r>
          </w:p>
        </w:tc>
        <w:tc>
          <w:tcPr>
            <w:tcW w:w="1444" w:type="dxa"/>
            <w:noWrap w:val="0"/>
            <w:vAlign w:val="center"/>
          </w:tcPr>
          <w:p w14:paraId="76AB82A7">
            <w:pPr>
              <w:keepNext w:val="0"/>
              <w:keepLines w:val="0"/>
              <w:pageBreakBefore w:val="0"/>
              <w:widowControl/>
              <w:kinsoku/>
              <w:wordWrap/>
              <w:overflowPunct/>
              <w:topLinePunct w:val="0"/>
              <w:bidi w:val="0"/>
              <w:snapToGrid/>
              <w:spacing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算力节点管理平台</w:t>
            </w:r>
          </w:p>
        </w:tc>
        <w:tc>
          <w:tcPr>
            <w:tcW w:w="735" w:type="dxa"/>
            <w:noWrap w:val="0"/>
            <w:vAlign w:val="center"/>
          </w:tcPr>
          <w:p w14:paraId="3F0E75F8">
            <w:pPr>
              <w:pStyle w:val="20"/>
              <w:keepNext w:val="0"/>
              <w:keepLines w:val="0"/>
              <w:pageBreakBefore w:val="0"/>
              <w:kinsoku/>
              <w:wordWrap/>
              <w:overflowPunct/>
              <w:topLinePunct w:val="0"/>
              <w:bidi w:val="0"/>
              <w:snapToGrid/>
              <w:spacing w:after="0"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套</w:t>
            </w:r>
          </w:p>
        </w:tc>
        <w:tc>
          <w:tcPr>
            <w:tcW w:w="1270" w:type="dxa"/>
            <w:noWrap w:val="0"/>
            <w:vAlign w:val="center"/>
          </w:tcPr>
          <w:p w14:paraId="6A508FBD">
            <w:pPr>
              <w:pStyle w:val="20"/>
              <w:keepNext w:val="0"/>
              <w:keepLines w:val="0"/>
              <w:pageBreakBefore w:val="0"/>
              <w:tabs>
                <w:tab w:val="left" w:pos="441"/>
              </w:tabs>
              <w:kinsoku/>
              <w:wordWrap/>
              <w:overflowPunct/>
              <w:topLinePunct w:val="0"/>
              <w:bidi w:val="0"/>
              <w:snapToGrid/>
              <w:spacing w:after="0" w:line="380" w:lineRule="exact"/>
              <w:jc w:val="left"/>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ab/>
            </w:r>
            <w:r>
              <w:rPr>
                <w:rFonts w:hint="eastAsia" w:ascii="宋体" w:hAnsi="宋体" w:cs="宋体"/>
                <w:b w:val="0"/>
                <w:bCs w:val="0"/>
                <w:color w:val="auto"/>
                <w:spacing w:val="-1"/>
                <w:kern w:val="2"/>
                <w:sz w:val="21"/>
                <w:szCs w:val="21"/>
                <w:highlight w:val="none"/>
                <w:lang w:val="en-US" w:eastAsia="zh-CN" w:bidi="ar-SA"/>
              </w:rPr>
              <w:t>1</w:t>
            </w:r>
          </w:p>
        </w:tc>
        <w:tc>
          <w:tcPr>
            <w:tcW w:w="1190" w:type="dxa"/>
            <w:noWrap w:val="0"/>
            <w:vAlign w:val="center"/>
          </w:tcPr>
          <w:p w14:paraId="75ED7749">
            <w:pPr>
              <w:keepNext w:val="0"/>
              <w:keepLines w:val="0"/>
              <w:pageBreakBefore w:val="0"/>
              <w:widowControl/>
              <w:kinsoku/>
              <w:wordWrap/>
              <w:overflowPunct/>
              <w:topLinePunct w:val="0"/>
              <w:bidi w:val="0"/>
              <w:snapToGrid/>
              <w:spacing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p>
        </w:tc>
        <w:tc>
          <w:tcPr>
            <w:tcW w:w="1711" w:type="dxa"/>
            <w:noWrap w:val="0"/>
            <w:vAlign w:val="center"/>
          </w:tcPr>
          <w:p w14:paraId="187F8F64">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1049" w:type="dxa"/>
            <w:noWrap w:val="0"/>
            <w:vAlign w:val="center"/>
          </w:tcPr>
          <w:p w14:paraId="6EA5FFFF">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2207" w:type="dxa"/>
            <w:noWrap w:val="0"/>
            <w:vAlign w:val="center"/>
          </w:tcPr>
          <w:p w14:paraId="3BF2C6D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500000</w:t>
            </w:r>
          </w:p>
        </w:tc>
      </w:tr>
      <w:tr w14:paraId="6B6B15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739" w:type="dxa"/>
            <w:noWrap w:val="0"/>
            <w:vAlign w:val="center"/>
          </w:tcPr>
          <w:p w14:paraId="6787566F">
            <w:pPr>
              <w:keepNext w:val="0"/>
              <w:keepLines w:val="0"/>
              <w:pageBreakBefore w:val="0"/>
              <w:widowControl/>
              <w:kinsoku/>
              <w:wordWrap/>
              <w:overflowPunct/>
              <w:topLinePunct w:val="0"/>
              <w:bidi w:val="0"/>
              <w:snapToGrid/>
              <w:spacing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2</w:t>
            </w:r>
          </w:p>
        </w:tc>
        <w:tc>
          <w:tcPr>
            <w:tcW w:w="1444" w:type="dxa"/>
            <w:noWrap w:val="0"/>
            <w:vAlign w:val="center"/>
          </w:tcPr>
          <w:p w14:paraId="62CBFF9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应用节点管理平台</w:t>
            </w:r>
          </w:p>
        </w:tc>
        <w:tc>
          <w:tcPr>
            <w:tcW w:w="735" w:type="dxa"/>
            <w:noWrap w:val="0"/>
            <w:vAlign w:val="center"/>
          </w:tcPr>
          <w:p w14:paraId="59CB4713">
            <w:pPr>
              <w:pStyle w:val="20"/>
              <w:keepNext w:val="0"/>
              <w:keepLines w:val="0"/>
              <w:pageBreakBefore w:val="0"/>
              <w:kinsoku/>
              <w:wordWrap/>
              <w:overflowPunct/>
              <w:topLinePunct w:val="0"/>
              <w:bidi w:val="0"/>
              <w:snapToGrid/>
              <w:spacing w:after="0" w:line="380" w:lineRule="exact"/>
              <w:jc w:val="center"/>
              <w:textAlignment w:val="auto"/>
              <w:rPr>
                <w:rFonts w:hint="eastAsia" w:ascii="宋体" w:hAnsi="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套</w:t>
            </w:r>
          </w:p>
        </w:tc>
        <w:tc>
          <w:tcPr>
            <w:tcW w:w="1270" w:type="dxa"/>
            <w:noWrap w:val="0"/>
            <w:vAlign w:val="center"/>
          </w:tcPr>
          <w:p w14:paraId="3241DC76">
            <w:pPr>
              <w:pStyle w:val="20"/>
              <w:keepNext w:val="0"/>
              <w:keepLines w:val="0"/>
              <w:pageBreakBefore w:val="0"/>
              <w:tabs>
                <w:tab w:val="left" w:pos="441"/>
              </w:tabs>
              <w:kinsoku/>
              <w:wordWrap/>
              <w:overflowPunct/>
              <w:topLinePunct w:val="0"/>
              <w:bidi w:val="0"/>
              <w:snapToGrid/>
              <w:spacing w:after="0" w:line="380" w:lineRule="exact"/>
              <w:jc w:val="left"/>
              <w:textAlignment w:val="auto"/>
              <w:rPr>
                <w:rFonts w:hint="default" w:ascii="宋体" w:hAnsi="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ab/>
            </w:r>
            <w:r>
              <w:rPr>
                <w:rFonts w:hint="eastAsia" w:ascii="宋体" w:hAnsi="宋体" w:cs="宋体"/>
                <w:b w:val="0"/>
                <w:bCs w:val="0"/>
                <w:color w:val="auto"/>
                <w:spacing w:val="-1"/>
                <w:kern w:val="2"/>
                <w:sz w:val="21"/>
                <w:szCs w:val="21"/>
                <w:highlight w:val="none"/>
                <w:lang w:val="en-US" w:eastAsia="zh-CN" w:bidi="ar-SA"/>
              </w:rPr>
              <w:t>1</w:t>
            </w:r>
          </w:p>
        </w:tc>
        <w:tc>
          <w:tcPr>
            <w:tcW w:w="1190" w:type="dxa"/>
            <w:noWrap w:val="0"/>
            <w:vAlign w:val="center"/>
          </w:tcPr>
          <w:p w14:paraId="6FB06186">
            <w:pPr>
              <w:keepNext w:val="0"/>
              <w:keepLines w:val="0"/>
              <w:pageBreakBefore w:val="0"/>
              <w:widowControl/>
              <w:kinsoku/>
              <w:wordWrap/>
              <w:overflowPunct/>
              <w:topLinePunct w:val="0"/>
              <w:bidi w:val="0"/>
              <w:snapToGrid/>
              <w:spacing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p>
        </w:tc>
        <w:tc>
          <w:tcPr>
            <w:tcW w:w="1711" w:type="dxa"/>
            <w:noWrap w:val="0"/>
            <w:vAlign w:val="center"/>
          </w:tcPr>
          <w:p w14:paraId="508CCB2B">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1049" w:type="dxa"/>
            <w:noWrap w:val="0"/>
            <w:vAlign w:val="center"/>
          </w:tcPr>
          <w:p w14:paraId="30FD5F41">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2207" w:type="dxa"/>
            <w:noWrap w:val="0"/>
            <w:vAlign w:val="center"/>
          </w:tcPr>
          <w:p w14:paraId="325E224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250000</w:t>
            </w:r>
          </w:p>
        </w:tc>
      </w:tr>
      <w:tr w14:paraId="66DBA9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183" w:type="dxa"/>
            <w:gridSpan w:val="2"/>
            <w:noWrap w:val="0"/>
            <w:vAlign w:val="center"/>
          </w:tcPr>
          <w:p w14:paraId="342EB71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合  计</w:t>
            </w:r>
          </w:p>
        </w:tc>
        <w:tc>
          <w:tcPr>
            <w:tcW w:w="8162" w:type="dxa"/>
            <w:gridSpan w:val="6"/>
            <w:noWrap w:val="0"/>
            <w:vAlign w:val="center"/>
          </w:tcPr>
          <w:p w14:paraId="3EB4C28A">
            <w:pPr>
              <w:keepNext w:val="0"/>
              <w:keepLines w:val="0"/>
              <w:pageBreakBefore w:val="0"/>
              <w:widowControl/>
              <w:kinsoku/>
              <w:wordWrap/>
              <w:overflowPunct/>
              <w:topLinePunct w:val="0"/>
              <w:bidi w:val="0"/>
              <w:snapToGrid/>
              <w:spacing w:line="380" w:lineRule="exact"/>
              <w:jc w:val="both"/>
              <w:textAlignment w:val="auto"/>
              <w:rPr>
                <w:rFonts w:hint="eastAsia"/>
                <w:color w:val="auto"/>
                <w:highlight w:val="none"/>
                <w:lang w:val="en-US" w:eastAsia="zh-CN"/>
              </w:rPr>
            </w:pPr>
            <w:r>
              <w:rPr>
                <w:rFonts w:hint="eastAsia" w:ascii="宋体" w:hAnsi="宋体" w:eastAsia="宋体" w:cs="宋体"/>
                <w:b w:val="0"/>
                <w:bCs w:val="0"/>
                <w:color w:val="auto"/>
                <w:spacing w:val="-1"/>
                <w:kern w:val="2"/>
                <w:sz w:val="21"/>
                <w:szCs w:val="21"/>
                <w:highlight w:val="none"/>
                <w:lang w:val="en-US" w:eastAsia="zh-CN" w:bidi="ar-SA"/>
              </w:rPr>
              <w:t>小写：¥                  （大写：人民币          ）</w:t>
            </w:r>
          </w:p>
        </w:tc>
      </w:tr>
      <w:tr w14:paraId="1A7293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183" w:type="dxa"/>
            <w:gridSpan w:val="2"/>
            <w:noWrap w:val="0"/>
            <w:vAlign w:val="center"/>
          </w:tcPr>
          <w:p w14:paraId="75D953DF">
            <w:pPr>
              <w:keepNext w:val="0"/>
              <w:keepLines w:val="0"/>
              <w:pageBreakBefore w:val="0"/>
              <w:widowControl/>
              <w:kinsoku/>
              <w:wordWrap/>
              <w:overflowPunct/>
              <w:topLinePunct w:val="0"/>
              <w:bidi w:val="0"/>
              <w:snapToGrid/>
              <w:spacing w:line="380" w:lineRule="exact"/>
              <w:jc w:val="center"/>
              <w:textAlignment w:val="auto"/>
              <w:rPr>
                <w:rFonts w:hint="default"/>
                <w:color w:val="auto"/>
                <w:highlight w:val="none"/>
                <w:lang w:val="en-US" w:eastAsia="zh-CN"/>
              </w:rPr>
            </w:pPr>
            <w:r>
              <w:rPr>
                <w:rFonts w:hint="eastAsia"/>
                <w:color w:val="auto"/>
                <w:highlight w:val="none"/>
                <w:lang w:val="en-US" w:eastAsia="zh-CN"/>
              </w:rPr>
              <w:t>免费维保期</w:t>
            </w:r>
          </w:p>
        </w:tc>
        <w:tc>
          <w:tcPr>
            <w:tcW w:w="8162" w:type="dxa"/>
            <w:gridSpan w:val="6"/>
            <w:noWrap w:val="0"/>
            <w:vAlign w:val="center"/>
          </w:tcPr>
          <w:p w14:paraId="6ACF071D">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color w:val="auto"/>
                <w:highlight w:val="none"/>
                <w:u w:val="single"/>
                <w:lang w:val="en-US" w:eastAsia="zh-CN"/>
              </w:rPr>
            </w:pPr>
            <w:r>
              <w:rPr>
                <w:rFonts w:hint="eastAsia"/>
                <w:color w:val="auto"/>
                <w:highlight w:val="none"/>
                <w:lang w:val="en-US" w:eastAsia="zh-CN"/>
              </w:rPr>
              <w:t xml:space="preserve">   </w:t>
            </w:r>
            <w:r>
              <w:rPr>
                <w:rFonts w:hint="eastAsia"/>
                <w:color w:val="auto"/>
                <w:highlight w:val="none"/>
                <w:u w:val="single"/>
                <w:lang w:val="en-US" w:eastAsia="zh-CN"/>
              </w:rPr>
              <w:t xml:space="preserve">    年</w:t>
            </w:r>
          </w:p>
        </w:tc>
      </w:tr>
      <w:tr w14:paraId="2549F4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183" w:type="dxa"/>
            <w:gridSpan w:val="2"/>
            <w:noWrap w:val="0"/>
            <w:vAlign w:val="center"/>
          </w:tcPr>
          <w:p w14:paraId="11FE93F1">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color w:val="auto"/>
                <w:highlight w:val="none"/>
                <w:lang w:val="en-US" w:eastAsia="zh-CN"/>
              </w:rPr>
              <w:t>免费维保期后维保费率（%）</w:t>
            </w:r>
          </w:p>
        </w:tc>
        <w:tc>
          <w:tcPr>
            <w:tcW w:w="8162" w:type="dxa"/>
            <w:gridSpan w:val="6"/>
            <w:noWrap w:val="0"/>
            <w:vAlign w:val="center"/>
          </w:tcPr>
          <w:p w14:paraId="2C65EFE8">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auto"/>
                <w:highlight w:val="none"/>
                <w:lang w:val="en-US" w:eastAsia="zh-CN"/>
              </w:rPr>
            </w:pPr>
          </w:p>
        </w:tc>
      </w:tr>
      <w:tr w14:paraId="088BF9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2183" w:type="dxa"/>
            <w:gridSpan w:val="2"/>
            <w:noWrap w:val="0"/>
            <w:vAlign w:val="center"/>
          </w:tcPr>
          <w:p w14:paraId="52CE5557">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其  他</w:t>
            </w:r>
          </w:p>
        </w:tc>
        <w:tc>
          <w:tcPr>
            <w:tcW w:w="8162" w:type="dxa"/>
            <w:gridSpan w:val="6"/>
            <w:noWrap w:val="0"/>
            <w:vAlign w:val="center"/>
          </w:tcPr>
          <w:p w14:paraId="56FB8D5C">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b w:val="0"/>
                <w:bCs w:val="0"/>
                <w:color w:val="auto"/>
                <w:spacing w:val="-1"/>
                <w:kern w:val="2"/>
                <w:sz w:val="21"/>
                <w:szCs w:val="21"/>
                <w:highlight w:val="none"/>
                <w:lang w:val="en-US" w:eastAsia="zh-CN" w:bidi="ar-SA"/>
              </w:rPr>
            </w:pPr>
          </w:p>
        </w:tc>
      </w:tr>
    </w:tbl>
    <w:p w14:paraId="6026F747">
      <w:pPr>
        <w:pStyle w:val="26"/>
        <w:spacing w:line="360" w:lineRule="exact"/>
        <w:rPr>
          <w:rFonts w:ascii="Times New Roman" w:hAnsi="Times New Roman" w:eastAsia="宋体" w:cs="Times New Roman"/>
          <w:b/>
          <w:bCs/>
          <w:color w:val="auto"/>
          <w:highlight w:val="none"/>
        </w:rPr>
      </w:pPr>
    </w:p>
    <w:p w14:paraId="6C1C7727">
      <w:pPr>
        <w:pStyle w:val="26"/>
        <w:spacing w:line="360" w:lineRule="exact"/>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此表可根据自身需要编辑</w:t>
      </w:r>
    </w:p>
    <w:p w14:paraId="61A000E3">
      <w:pPr>
        <w:spacing w:line="400" w:lineRule="exact"/>
        <w:rPr>
          <w:color w:val="auto"/>
          <w:highlight w:val="none"/>
          <w:u w:val="single"/>
        </w:rPr>
      </w:pPr>
      <w:r>
        <w:rPr>
          <w:rFonts w:hint="eastAsia"/>
          <w:color w:val="auto"/>
          <w:highlight w:val="none"/>
          <w:lang w:eastAsia="zh-CN"/>
        </w:rPr>
        <w:t>供应商</w:t>
      </w:r>
      <w:r>
        <w:rPr>
          <w:color w:val="auto"/>
          <w:highlight w:val="none"/>
        </w:rPr>
        <w:t>（公章）：</w:t>
      </w:r>
    </w:p>
    <w:p w14:paraId="6E995A8D">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50A59BEC">
      <w:pPr>
        <w:spacing w:line="400" w:lineRule="exact"/>
        <w:rPr>
          <w:color w:val="auto"/>
          <w:highlight w:val="none"/>
        </w:rPr>
      </w:pPr>
      <w:r>
        <w:rPr>
          <w:color w:val="auto"/>
          <w:highlight w:val="none"/>
        </w:rPr>
        <w:t>日期：</w:t>
      </w:r>
    </w:p>
    <w:p w14:paraId="6D352340">
      <w:pPr>
        <w:spacing w:line="400" w:lineRule="exact"/>
        <w:rPr>
          <w:color w:val="auto"/>
          <w:highlight w:val="none"/>
        </w:rPr>
      </w:pPr>
    </w:p>
    <w:p w14:paraId="3749CFC8">
      <w:pPr>
        <w:spacing w:line="400" w:lineRule="exact"/>
        <w:rPr>
          <w:rFonts w:ascii="宋体" w:hAnsi="宋体" w:cs="宋体"/>
          <w:color w:val="auto"/>
          <w:highlight w:val="none"/>
        </w:rPr>
      </w:pPr>
      <w:r>
        <w:rPr>
          <w:rFonts w:hint="eastAsia" w:ascii="宋体" w:hAnsi="宋体" w:cs="宋体"/>
          <w:color w:val="auto"/>
          <w:highlight w:val="none"/>
        </w:rPr>
        <w:t>注：1.若此表由多页构成的，须逐页加盖</w:t>
      </w:r>
      <w:r>
        <w:rPr>
          <w:rFonts w:hint="eastAsia" w:ascii="宋体" w:hAnsi="宋体" w:cs="宋体"/>
          <w:color w:val="auto"/>
          <w:highlight w:val="none"/>
          <w:lang w:eastAsia="zh-CN"/>
        </w:rPr>
        <w:t>供应商</w:t>
      </w:r>
      <w:r>
        <w:rPr>
          <w:rFonts w:hint="eastAsia" w:ascii="宋体" w:hAnsi="宋体" w:cs="宋体"/>
          <w:color w:val="auto"/>
          <w:highlight w:val="none"/>
        </w:rPr>
        <w:t>公章，否则报价无效。</w:t>
      </w:r>
    </w:p>
    <w:p w14:paraId="3D4CA596">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eastAsia="宋体" w:cs="宋体"/>
          <w:color w:val="auto"/>
          <w:highlight w:val="none"/>
        </w:rPr>
        <w:t>.</w:t>
      </w:r>
      <w:r>
        <w:rPr>
          <w:rFonts w:hint="eastAsia" w:ascii="宋体" w:hAnsi="宋体" w:eastAsia="宋体" w:cs="宋体"/>
          <w:color w:val="auto"/>
          <w:kern w:val="0"/>
          <w:sz w:val="21"/>
          <w:szCs w:val="21"/>
          <w:highlight w:val="none"/>
        </w:rPr>
        <w:t>项目报价为完成所要求服务内容的全部价格（包含增值税税金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z w:val="21"/>
          <w:szCs w:val="21"/>
          <w:highlight w:val="none"/>
        </w:rPr>
        <w:t>差旅费、咨询费、管理</w:t>
      </w:r>
      <w:r>
        <w:rPr>
          <w:rFonts w:hint="eastAsia" w:ascii="宋体" w:hAnsi="宋体" w:eastAsia="宋体" w:cs="宋体"/>
          <w:color w:val="auto"/>
          <w:kern w:val="0"/>
          <w:sz w:val="21"/>
          <w:szCs w:val="21"/>
          <w:highlight w:val="none"/>
        </w:rPr>
        <w:t>费用等其他费用）</w:t>
      </w:r>
      <w:r>
        <w:rPr>
          <w:rFonts w:hint="eastAsia" w:ascii="宋体" w:hAnsi="宋体" w:eastAsia="宋体" w:cs="宋体"/>
          <w:color w:val="auto"/>
          <w:sz w:val="21"/>
          <w:szCs w:val="21"/>
          <w:highlight w:val="none"/>
        </w:rPr>
        <w:t>，并开具增值税专用发票。在其它情况下，由于分项报价未填报或填报不完整、不清楚或存在其它任何失误，所导致的任何不利后果均应当由供应商自行承担</w:t>
      </w:r>
      <w:r>
        <w:rPr>
          <w:rFonts w:hint="eastAsia" w:ascii="宋体" w:hAnsi="宋体" w:eastAsia="宋体" w:cs="宋体"/>
          <w:color w:val="auto"/>
          <w:highlight w:val="none"/>
        </w:rPr>
        <w:t>。</w:t>
      </w:r>
    </w:p>
    <w:p w14:paraId="3E8C0EE5">
      <w:pPr>
        <w:pStyle w:val="26"/>
        <w:spacing w:line="400" w:lineRule="exact"/>
        <w:ind w:firstLine="420" w:firstLineChars="200"/>
        <w:rPr>
          <w:rFonts w:hAnsi="宋体" w:eastAsia="宋体"/>
          <w:color w:val="auto"/>
          <w:highlight w:val="none"/>
        </w:rPr>
      </w:pPr>
      <w:r>
        <w:rPr>
          <w:rFonts w:hint="eastAsia" w:hAnsi="宋体" w:eastAsia="宋体"/>
          <w:color w:val="auto"/>
          <w:highlight w:val="none"/>
        </w:rPr>
        <w:t>3.</w:t>
      </w:r>
      <w:r>
        <w:rPr>
          <w:rFonts w:hint="eastAsia" w:hAnsi="宋体" w:eastAsia="宋体"/>
          <w:color w:val="auto"/>
          <w:highlight w:val="none"/>
          <w:lang w:eastAsia="zh-CN"/>
        </w:rPr>
        <w:t>供应商</w:t>
      </w:r>
      <w:r>
        <w:rPr>
          <w:rFonts w:hint="eastAsia" w:hAnsi="宋体" w:eastAsia="宋体"/>
          <w:color w:val="auto"/>
          <w:highlight w:val="none"/>
        </w:rPr>
        <w:t>必须就本项目需求中的采购内容作完整唯一报价，否则，其磋商将被拒绝。响应文件只允许有一个报价，有选择的或有条件的报价将不予接受。</w:t>
      </w:r>
    </w:p>
    <w:p w14:paraId="566D4C60">
      <w:pPr>
        <w:pStyle w:val="21"/>
        <w:ind w:firstLine="420" w:firstLineChars="200"/>
        <w:rPr>
          <w:rFonts w:hint="default"/>
          <w:color w:val="auto"/>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BDEB224">
      <w:pPr>
        <w:pStyle w:val="20"/>
        <w:spacing w:after="0" w:line="400" w:lineRule="exact"/>
        <w:rPr>
          <w:b/>
          <w:bCs/>
          <w:color w:val="auto"/>
          <w:kern w:val="0"/>
          <w:highlight w:val="none"/>
        </w:rPr>
      </w:pPr>
      <w:r>
        <w:rPr>
          <w:rFonts w:hint="eastAsia"/>
          <w:b/>
          <w:bCs/>
          <w:color w:val="auto"/>
          <w:kern w:val="0"/>
          <w:highlight w:val="none"/>
          <w:lang w:val="en-US" w:eastAsia="zh-CN"/>
        </w:rPr>
        <w:t>5.</w:t>
      </w:r>
      <w:r>
        <w:rPr>
          <w:b/>
          <w:bCs/>
          <w:color w:val="auto"/>
          <w:highlight w:val="none"/>
        </w:rPr>
        <w:t>法定代表人（单位负责人）身份证明（</w:t>
      </w:r>
      <w:r>
        <w:rPr>
          <w:b/>
          <w:bCs/>
          <w:color w:val="auto"/>
          <w:kern w:val="0"/>
          <w:highlight w:val="none"/>
        </w:rPr>
        <w:t>必须提供）</w:t>
      </w:r>
    </w:p>
    <w:p w14:paraId="1BC616E8">
      <w:pPr>
        <w:snapToGrid w:val="0"/>
        <w:spacing w:before="156" w:beforeLines="50" w:after="50" w:line="440" w:lineRule="exact"/>
        <w:jc w:val="center"/>
        <w:rPr>
          <w:b/>
          <w:color w:val="auto"/>
          <w:highlight w:val="none"/>
        </w:rPr>
      </w:pPr>
    </w:p>
    <w:p w14:paraId="5CAF559A">
      <w:pPr>
        <w:snapToGrid w:val="0"/>
        <w:spacing w:before="156" w:beforeLines="50" w:after="50" w:line="440" w:lineRule="exact"/>
        <w:jc w:val="center"/>
        <w:rPr>
          <w:b/>
          <w:color w:val="auto"/>
          <w:highlight w:val="none"/>
        </w:rPr>
      </w:pPr>
      <w:r>
        <w:rPr>
          <w:b/>
          <w:color w:val="auto"/>
          <w:highlight w:val="none"/>
        </w:rPr>
        <w:t>法定代表人身份证明</w:t>
      </w:r>
    </w:p>
    <w:p w14:paraId="40E17729">
      <w:pPr>
        <w:spacing w:line="360" w:lineRule="auto"/>
        <w:rPr>
          <w:color w:val="auto"/>
          <w:highlight w:val="none"/>
        </w:rPr>
      </w:pPr>
    </w:p>
    <w:p w14:paraId="0B382331">
      <w:pPr>
        <w:pStyle w:val="14"/>
        <w:spacing w:line="720" w:lineRule="auto"/>
        <w:rPr>
          <w:bCs/>
          <w:color w:val="auto"/>
          <w:highlight w:val="none"/>
        </w:rPr>
      </w:pPr>
      <w:r>
        <w:rPr>
          <w:bCs/>
          <w:color w:val="auto"/>
          <w:highlight w:val="none"/>
          <w:u w:val="single"/>
        </w:rPr>
        <w:t xml:space="preserve">               </w:t>
      </w:r>
      <w:r>
        <w:rPr>
          <w:bCs/>
          <w:color w:val="auto"/>
          <w:highlight w:val="none"/>
        </w:rPr>
        <w:t>现任我单位</w:t>
      </w:r>
      <w:r>
        <w:rPr>
          <w:bCs/>
          <w:color w:val="auto"/>
          <w:highlight w:val="none"/>
          <w:u w:val="single"/>
        </w:rPr>
        <w:t xml:space="preserve">     （单位名称及职务）           </w:t>
      </w:r>
      <w:r>
        <w:rPr>
          <w:bCs/>
          <w:color w:val="auto"/>
          <w:highlight w:val="none"/>
        </w:rPr>
        <w:t>，为法定代表人，特此证明。</w:t>
      </w:r>
    </w:p>
    <w:p w14:paraId="75FB1703">
      <w:pPr>
        <w:pStyle w:val="14"/>
        <w:spacing w:line="720" w:lineRule="auto"/>
        <w:rPr>
          <w:bCs/>
          <w:color w:val="auto"/>
          <w:highlight w:val="none"/>
        </w:rPr>
      </w:pPr>
      <w:r>
        <w:rPr>
          <w:bCs/>
          <w:color w:val="auto"/>
          <w:highlight w:val="none"/>
        </w:rPr>
        <w:t xml:space="preserve">        </w:t>
      </w:r>
    </w:p>
    <w:p w14:paraId="08405F03">
      <w:pPr>
        <w:pStyle w:val="14"/>
        <w:spacing w:line="720" w:lineRule="auto"/>
        <w:ind w:firstLine="0"/>
        <w:rPr>
          <w:bCs/>
          <w:color w:val="auto"/>
          <w:highlight w:val="none"/>
        </w:rPr>
      </w:pPr>
    </w:p>
    <w:p w14:paraId="41640FE3">
      <w:pPr>
        <w:pStyle w:val="14"/>
        <w:spacing w:line="720" w:lineRule="auto"/>
        <w:rPr>
          <w:bCs/>
          <w:color w:val="auto"/>
          <w:highlight w:val="none"/>
        </w:rPr>
      </w:pPr>
      <w:r>
        <w:rPr>
          <w:bCs/>
          <w:color w:val="auto"/>
          <w:highlight w:val="none"/>
        </w:rPr>
        <w:t>附：法定代表人性别：</w:t>
      </w:r>
      <w:r>
        <w:rPr>
          <w:bCs/>
          <w:color w:val="auto"/>
          <w:highlight w:val="none"/>
          <w:u w:val="single"/>
        </w:rPr>
        <w:t xml:space="preserve">      </w:t>
      </w:r>
      <w:r>
        <w:rPr>
          <w:bCs/>
          <w:color w:val="auto"/>
          <w:highlight w:val="none"/>
        </w:rPr>
        <w:t>年龄：</w:t>
      </w:r>
      <w:r>
        <w:rPr>
          <w:bCs/>
          <w:color w:val="auto"/>
          <w:highlight w:val="none"/>
          <w:u w:val="single"/>
        </w:rPr>
        <w:t xml:space="preserve">        </w:t>
      </w:r>
      <w:r>
        <w:rPr>
          <w:bCs/>
          <w:color w:val="auto"/>
          <w:highlight w:val="none"/>
        </w:rPr>
        <w:t>身份证号码：</w:t>
      </w:r>
      <w:r>
        <w:rPr>
          <w:bCs/>
          <w:color w:val="auto"/>
          <w:highlight w:val="none"/>
          <w:u w:val="single"/>
        </w:rPr>
        <w:t xml:space="preserve">                  </w:t>
      </w:r>
      <w:r>
        <w:rPr>
          <w:bCs/>
          <w:color w:val="auto"/>
          <w:highlight w:val="none"/>
        </w:rPr>
        <w:t>。</w:t>
      </w:r>
      <w:r>
        <w:rPr>
          <w:bCs/>
          <w:color w:val="auto"/>
          <w:highlight w:val="none"/>
          <w:u w:val="single"/>
        </w:rPr>
        <w:t xml:space="preserve"> </w:t>
      </w:r>
      <w:r>
        <w:rPr>
          <w:bCs/>
          <w:color w:val="auto"/>
          <w:highlight w:val="none"/>
        </w:rPr>
        <w:t xml:space="preserve"> </w:t>
      </w:r>
    </w:p>
    <w:p w14:paraId="48619C2D">
      <w:pPr>
        <w:pStyle w:val="14"/>
        <w:spacing w:line="720" w:lineRule="auto"/>
        <w:rPr>
          <w:bCs/>
          <w:color w:val="auto"/>
          <w:highlight w:val="none"/>
        </w:rPr>
      </w:pPr>
      <w:r>
        <w:rPr>
          <w:bCs/>
          <w:color w:val="auto"/>
          <w:highlight w:val="none"/>
        </w:rPr>
        <w:t>营业执照号码：</w:t>
      </w:r>
      <w:r>
        <w:rPr>
          <w:bCs/>
          <w:color w:val="auto"/>
          <w:highlight w:val="none"/>
          <w:u w:val="single"/>
        </w:rPr>
        <w:t xml:space="preserve">                       </w:t>
      </w:r>
      <w:r>
        <w:rPr>
          <w:bCs/>
          <w:color w:val="auto"/>
          <w:highlight w:val="none"/>
        </w:rPr>
        <w:t xml:space="preserve"> 企业类型：</w:t>
      </w:r>
      <w:r>
        <w:rPr>
          <w:bCs/>
          <w:color w:val="auto"/>
          <w:highlight w:val="none"/>
          <w:u w:val="single"/>
        </w:rPr>
        <w:t xml:space="preserve">                </w:t>
      </w:r>
      <w:r>
        <w:rPr>
          <w:bCs/>
          <w:color w:val="auto"/>
          <w:highlight w:val="none"/>
        </w:rPr>
        <w:t xml:space="preserve"> 。 </w:t>
      </w:r>
    </w:p>
    <w:p w14:paraId="5B51975A">
      <w:pPr>
        <w:pStyle w:val="14"/>
        <w:spacing w:line="720" w:lineRule="auto"/>
        <w:rPr>
          <w:b/>
          <w:color w:val="auto"/>
          <w:highlight w:val="none"/>
        </w:rPr>
      </w:pPr>
      <w:r>
        <w:rPr>
          <w:bCs/>
          <w:color w:val="auto"/>
          <w:highlight w:val="none"/>
        </w:rPr>
        <w:t>经营范围：</w:t>
      </w:r>
      <w:r>
        <w:rPr>
          <w:b/>
          <w:color w:val="auto"/>
          <w:highlight w:val="none"/>
          <w:u w:val="single"/>
        </w:rPr>
        <w:t xml:space="preserve">                                           </w:t>
      </w:r>
      <w:r>
        <w:rPr>
          <w:b/>
          <w:color w:val="auto"/>
          <w:highlight w:val="none"/>
        </w:rPr>
        <w:t>。</w:t>
      </w:r>
    </w:p>
    <w:p w14:paraId="161F6707">
      <w:pPr>
        <w:spacing w:line="720" w:lineRule="auto"/>
        <w:jc w:val="center"/>
        <w:rPr>
          <w:color w:val="auto"/>
          <w:highlight w:val="none"/>
        </w:rPr>
      </w:pPr>
      <w:r>
        <w:rPr>
          <w:color w:val="auto"/>
          <w:highlight w:val="none"/>
        </w:rPr>
        <w:t xml:space="preserve">                  </w:t>
      </w:r>
    </w:p>
    <w:p w14:paraId="4581844F">
      <w:pPr>
        <w:spacing w:line="720" w:lineRule="auto"/>
        <w:jc w:val="center"/>
        <w:rPr>
          <w:color w:val="auto"/>
          <w:highlight w:val="none"/>
        </w:rPr>
      </w:pPr>
      <w:r>
        <w:rPr>
          <w:color w:val="auto"/>
          <w:highlight w:val="none"/>
        </w:rPr>
        <w:t xml:space="preserve">  </w:t>
      </w:r>
      <w:r>
        <w:rPr>
          <w:color w:val="auto"/>
          <w:highlight w:val="none"/>
        </w:rPr>
        <w:tab/>
      </w:r>
      <w:r>
        <w:rPr>
          <w:color w:val="auto"/>
          <w:highlight w:val="none"/>
        </w:rPr>
        <w:tab/>
      </w:r>
      <w:r>
        <w:rPr>
          <w:color w:val="auto"/>
          <w:highlight w:val="none"/>
        </w:rPr>
        <w:tab/>
      </w:r>
      <w:r>
        <w:rPr>
          <w:color w:val="auto"/>
          <w:highlight w:val="none"/>
        </w:rPr>
        <w:tab/>
      </w:r>
      <w:r>
        <w:rPr>
          <w:rFonts w:hint="eastAsia"/>
          <w:color w:val="auto"/>
          <w:highlight w:val="none"/>
          <w:lang w:eastAsia="zh-CN"/>
        </w:rPr>
        <w:t>供应商</w:t>
      </w:r>
      <w:r>
        <w:rPr>
          <w:color w:val="auto"/>
          <w:highlight w:val="none"/>
        </w:rPr>
        <w:t>（公章）：</w:t>
      </w:r>
    </w:p>
    <w:p w14:paraId="403376FD">
      <w:pPr>
        <w:spacing w:line="720" w:lineRule="auto"/>
        <w:jc w:val="center"/>
        <w:rPr>
          <w:color w:val="auto"/>
          <w:highlight w:val="none"/>
        </w:rPr>
      </w:pPr>
      <w:r>
        <w:rPr>
          <w:rFonts w:hint="eastAsia"/>
          <w:color w:val="auto"/>
          <w:highlight w:val="none"/>
        </w:rPr>
        <w:t xml:space="preserve">      </w:t>
      </w:r>
      <w:r>
        <w:rPr>
          <w:color w:val="auto"/>
          <w:highlight w:val="none"/>
        </w:rPr>
        <w:t>日期：</w:t>
      </w:r>
    </w:p>
    <w:p w14:paraId="0BF2C4C1">
      <w:pPr>
        <w:widowControl/>
        <w:rPr>
          <w:color w:val="auto"/>
          <w:spacing w:val="20"/>
          <w:highlight w:val="none"/>
        </w:rPr>
      </w:pPr>
      <w:r>
        <w:rPr>
          <w:color w:val="auto"/>
          <w:highlight w:val="none"/>
        </w:rPr>
        <w:t>（附法定代表人居民身份证复印件</w:t>
      </w:r>
      <w:r>
        <w:rPr>
          <w:color w:val="auto"/>
          <w:spacing w:val="20"/>
          <w:highlight w:val="none"/>
        </w:rPr>
        <w:t>）</w:t>
      </w:r>
    </w:p>
    <w:p w14:paraId="3C09DDD4">
      <w:pPr>
        <w:spacing w:line="360" w:lineRule="auto"/>
        <w:ind w:firstLine="420" w:firstLineChars="200"/>
        <w:rPr>
          <w:color w:val="auto"/>
          <w:highlight w:val="none"/>
        </w:rPr>
      </w:pPr>
    </w:p>
    <w:p w14:paraId="12B8A93C">
      <w:pPr>
        <w:spacing w:line="360" w:lineRule="auto"/>
        <w:ind w:firstLine="420" w:firstLineChars="200"/>
        <w:rPr>
          <w:color w:val="auto"/>
          <w:highlight w:val="none"/>
        </w:rPr>
      </w:pPr>
    </w:p>
    <w:p w14:paraId="1F82C97B">
      <w:pPr>
        <w:pStyle w:val="26"/>
        <w:spacing w:line="300" w:lineRule="exact"/>
        <w:ind w:firstLine="472" w:firstLineChars="196"/>
        <w:rPr>
          <w:rFonts w:ascii="Times New Roman" w:hAnsi="Times New Roman" w:eastAsia="宋体" w:cs="Times New Roman"/>
          <w:b/>
          <w:color w:val="auto"/>
          <w:sz w:val="24"/>
          <w:szCs w:val="24"/>
          <w:highlight w:val="none"/>
        </w:rPr>
      </w:pPr>
    </w:p>
    <w:p w14:paraId="1ADCD8E3">
      <w:pPr>
        <w:pStyle w:val="26"/>
        <w:ind w:firstLine="630" w:firstLineChars="196"/>
        <w:jc w:val="center"/>
        <w:rPr>
          <w:rFonts w:ascii="Times New Roman" w:hAnsi="Times New Roman" w:eastAsia="宋体" w:cs="Times New Roman"/>
          <w:b/>
          <w:color w:val="auto"/>
          <w:sz w:val="32"/>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EA53129">
      <w:pPr>
        <w:pStyle w:val="26"/>
        <w:rPr>
          <w:rFonts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lang w:val="en-US" w:eastAsia="zh-CN"/>
        </w:rPr>
        <w:t>5-1.</w:t>
      </w:r>
      <w:r>
        <w:rPr>
          <w:rFonts w:ascii="Times New Roman" w:hAnsi="Times New Roman" w:eastAsia="宋体" w:cs="Times New Roman"/>
          <w:b/>
          <w:bCs/>
          <w:color w:val="auto"/>
          <w:kern w:val="0"/>
          <w:highlight w:val="none"/>
        </w:rPr>
        <w:t>法定代表人授权委托书（有授权代表时必须提供）</w:t>
      </w:r>
    </w:p>
    <w:p w14:paraId="00725C3A">
      <w:pPr>
        <w:pStyle w:val="12"/>
        <w:rPr>
          <w:color w:val="auto"/>
          <w:highlight w:val="none"/>
        </w:rPr>
      </w:pPr>
    </w:p>
    <w:p w14:paraId="16FECC03">
      <w:pPr>
        <w:pStyle w:val="26"/>
        <w:ind w:firstLine="630" w:firstLineChars="196"/>
        <w:jc w:val="center"/>
        <w:rPr>
          <w:rFonts w:ascii="Times New Roman" w:hAnsi="Times New Roman" w:eastAsia="宋体" w:cs="Times New Roman"/>
          <w:b/>
          <w:color w:val="auto"/>
          <w:sz w:val="32"/>
          <w:highlight w:val="none"/>
        </w:rPr>
      </w:pPr>
      <w:r>
        <w:rPr>
          <w:rFonts w:ascii="Times New Roman" w:hAnsi="Times New Roman" w:eastAsia="宋体" w:cs="Times New Roman"/>
          <w:b/>
          <w:color w:val="auto"/>
          <w:sz w:val="32"/>
          <w:highlight w:val="none"/>
        </w:rPr>
        <w:t>授权委托书</w:t>
      </w:r>
    </w:p>
    <w:p w14:paraId="5DD5D1B2">
      <w:pPr>
        <w:pStyle w:val="26"/>
        <w:rPr>
          <w:rFonts w:ascii="Times New Roman" w:hAnsi="Times New Roman" w:eastAsia="宋体" w:cs="Times New Roman"/>
          <w:color w:val="auto"/>
          <w:highlight w:val="none"/>
        </w:rPr>
      </w:pPr>
    </w:p>
    <w:p w14:paraId="0D11ED24">
      <w:pPr>
        <w:pStyle w:val="26"/>
        <w:rPr>
          <w:rFonts w:ascii="Times New Roman" w:hAnsi="Times New Roman" w:eastAsia="宋体" w:cs="Times New Roman"/>
          <w:b/>
          <w:color w:val="auto"/>
          <w:highlight w:val="none"/>
        </w:rPr>
      </w:pPr>
      <w:r>
        <w:rPr>
          <w:rFonts w:ascii="Times New Roman" w:hAnsi="Times New Roman" w:eastAsia="宋体" w:cs="Times New Roman"/>
          <w:color w:val="auto"/>
          <w:highlight w:val="none"/>
        </w:rPr>
        <w:t>致</w:t>
      </w:r>
      <w:r>
        <w:rPr>
          <w:rFonts w:hint="eastAsia" w:ascii="Times New Roman" w:hAnsi="Times New Roman" w:eastAsia="宋体" w:cs="Times New Roman"/>
          <w:color w:val="auto"/>
          <w:highlight w:val="none"/>
        </w:rPr>
        <w:t>：</w:t>
      </w:r>
      <w:r>
        <w:rPr>
          <w:rFonts w:ascii="Times New Roman" w:hAnsi="Times New Roman" w:eastAsia="宋体" w:cs="Times New Roman"/>
          <w:b/>
          <w:color w:val="auto"/>
          <w:highlight w:val="none"/>
        </w:rPr>
        <w:t>桂林银行股份有限公司</w:t>
      </w:r>
    </w:p>
    <w:p w14:paraId="3567FFA2">
      <w:pPr>
        <w:spacing w:line="400" w:lineRule="exact"/>
        <w:rPr>
          <w:color w:val="auto"/>
          <w:highlight w:val="none"/>
        </w:rPr>
      </w:pPr>
    </w:p>
    <w:p w14:paraId="3EA160EB">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rPr>
        <w:t>本人</w:t>
      </w:r>
      <w:r>
        <w:rPr>
          <w:rFonts w:ascii="Times New Roman" w:hAnsi="Times New Roman" w:eastAsia="宋体" w:cs="Times New Roman"/>
          <w:color w:val="auto"/>
          <w:kern w:val="0"/>
          <w:highlight w:val="none"/>
          <w:u w:val="single"/>
        </w:rPr>
        <w:t>（姓名）</w:t>
      </w:r>
      <w:r>
        <w:rPr>
          <w:rFonts w:ascii="Times New Roman" w:hAnsi="Times New Roman" w:eastAsia="宋体" w:cs="Times New Roman"/>
          <w:color w:val="auto"/>
          <w:kern w:val="0"/>
          <w:highlight w:val="none"/>
        </w:rPr>
        <w:t>系</w:t>
      </w:r>
      <w:r>
        <w:rPr>
          <w:rFonts w:ascii="Times New Roman" w:hAnsi="Times New Roman" w:eastAsia="宋体" w:cs="Times New Roman"/>
          <w:color w:val="auto"/>
          <w:kern w:val="0"/>
          <w:highlight w:val="none"/>
          <w:u w:val="single"/>
        </w:rPr>
        <w:t>（</w:t>
      </w:r>
      <w:r>
        <w:rPr>
          <w:rFonts w:hint="eastAsia" w:ascii="Times New Roman" w:hAnsi="Times New Roman" w:eastAsia="宋体" w:cs="Times New Roman"/>
          <w:color w:val="auto"/>
          <w:kern w:val="0"/>
          <w:highlight w:val="none"/>
          <w:u w:val="single"/>
          <w:lang w:eastAsia="zh-CN"/>
        </w:rPr>
        <w:t>供应商</w:t>
      </w:r>
      <w:r>
        <w:rPr>
          <w:rFonts w:ascii="Times New Roman" w:hAnsi="Times New Roman" w:eastAsia="宋体" w:cs="Times New Roman"/>
          <w:color w:val="auto"/>
          <w:kern w:val="0"/>
          <w:highlight w:val="none"/>
          <w:u w:val="single"/>
        </w:rPr>
        <w:t>名称）</w:t>
      </w:r>
      <w:r>
        <w:rPr>
          <w:rFonts w:ascii="Times New Roman" w:hAnsi="Times New Roman" w:eastAsia="宋体" w:cs="Times New Roman"/>
          <w:color w:val="auto"/>
          <w:kern w:val="0"/>
          <w:highlight w:val="none"/>
        </w:rPr>
        <w:t>的法定代表人（负责人），现委托</w:t>
      </w:r>
      <w:r>
        <w:rPr>
          <w:rFonts w:ascii="Times New Roman" w:hAnsi="Times New Roman" w:eastAsia="宋体" w:cs="Times New Roman"/>
          <w:color w:val="auto"/>
          <w:kern w:val="0"/>
          <w:highlight w:val="none"/>
          <w:u w:val="single"/>
        </w:rPr>
        <w:t>（姓 名）</w:t>
      </w:r>
      <w:r>
        <w:rPr>
          <w:rFonts w:hint="eastAsia" w:ascii="Times New Roman" w:hAnsi="Times New Roman" w:eastAsia="宋体" w:cs="Times New Roman"/>
          <w:color w:val="auto"/>
          <w:kern w:val="0"/>
          <w:highlight w:val="none"/>
        </w:rPr>
        <w:t>为我方代理人。代理人根据授权，</w:t>
      </w:r>
      <w:r>
        <w:rPr>
          <w:rFonts w:ascii="Times New Roman" w:hAnsi="Times New Roman" w:eastAsia="宋体" w:cs="Times New Roman"/>
          <w:color w:val="auto"/>
          <w:kern w:val="0"/>
          <w:highlight w:val="none"/>
        </w:rPr>
        <w:t>以我</w:t>
      </w:r>
      <w:r>
        <w:rPr>
          <w:rFonts w:hint="eastAsia" w:ascii="Times New Roman" w:hAnsi="Times New Roman" w:eastAsia="宋体" w:cs="Times New Roman"/>
          <w:color w:val="auto"/>
          <w:kern w:val="0"/>
          <w:highlight w:val="none"/>
        </w:rPr>
        <w:t>方</w:t>
      </w:r>
      <w:r>
        <w:rPr>
          <w:rFonts w:ascii="Times New Roman" w:hAnsi="Times New Roman" w:eastAsia="宋体" w:cs="Times New Roman"/>
          <w:color w:val="auto"/>
          <w:kern w:val="0"/>
          <w:highlight w:val="none"/>
        </w:rPr>
        <w:t>名义参加</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lang w:val="en-US" w:eastAsia="zh-CN"/>
        </w:rPr>
        <w:t>桂林银行</w:t>
      </w:r>
      <w:r>
        <w:rPr>
          <w:rFonts w:hint="eastAsia" w:ascii="Times New Roman" w:hAnsi="Times New Roman" w:eastAsia="宋体" w:cs="Times New Roman"/>
          <w:color w:val="auto"/>
          <w:highlight w:val="none"/>
          <w:u w:val="single"/>
        </w:rPr>
        <w:t>中国-东盟金融人工智能服务共享网络节点建设项目</w:t>
      </w:r>
      <w:r>
        <w:rPr>
          <w:rFonts w:hint="eastAsia" w:ascii="Times New Roman" w:hAnsi="Times New Roman" w:eastAsia="宋体" w:cs="Times New Roman"/>
          <w:color w:val="auto"/>
          <w:highlight w:val="none"/>
          <w:u w:val="single"/>
          <w:lang w:val="en-US" w:eastAsia="zh-CN"/>
        </w:rPr>
        <w:t>/项目编号：</w:t>
      </w:r>
      <w:r>
        <w:rPr>
          <w:rFonts w:hint="eastAsia" w:ascii="Times New Roman" w:hAnsi="Times New Roman" w:eastAsia="宋体" w:cs="Times New Roman"/>
          <w:color w:val="auto"/>
          <w:highlight w:val="none"/>
          <w:u w:val="single"/>
        </w:rPr>
        <w:t>GYJC202</w:t>
      </w:r>
      <w:r>
        <w:rPr>
          <w:rFonts w:hint="eastAsia" w:ascii="Times New Roman" w:hAnsi="Times New Roman" w:eastAsia="宋体" w:cs="Times New Roman"/>
          <w:color w:val="auto"/>
          <w:highlight w:val="none"/>
          <w:u w:val="single"/>
          <w:lang w:val="en-US" w:eastAsia="zh-CN"/>
        </w:rPr>
        <w:t>6</w:t>
      </w:r>
      <w:r>
        <w:rPr>
          <w:rFonts w:hint="eastAsia" w:ascii="Times New Roman" w:hAnsi="Times New Roman" w:eastAsia="宋体" w:cs="Times New Roman"/>
          <w:color w:val="auto"/>
          <w:highlight w:val="none"/>
          <w:u w:val="single"/>
          <w:lang w:val="en-US" w:eastAsia="zh-CN"/>
        </w:rPr>
        <w:t>014</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的磋商活动，并代表我方全权办理针对上述项目的磋商、</w:t>
      </w:r>
      <w:r>
        <w:rPr>
          <w:rFonts w:hint="eastAsia" w:ascii="Times New Roman" w:hAnsi="Times New Roman" w:eastAsia="宋体" w:cs="Times New Roman"/>
          <w:color w:val="auto"/>
          <w:highlight w:val="none"/>
        </w:rPr>
        <w:t>澄清确认、递交、撤回、修改、</w:t>
      </w:r>
      <w:r>
        <w:rPr>
          <w:rFonts w:ascii="Times New Roman" w:hAnsi="Times New Roman" w:eastAsia="宋体" w:cs="Times New Roman"/>
          <w:color w:val="auto"/>
          <w:highlight w:val="none"/>
        </w:rPr>
        <w:t>签约等具体事务和</w:t>
      </w:r>
      <w:r>
        <w:rPr>
          <w:rFonts w:hint="eastAsia" w:ascii="Times New Roman" w:hAnsi="Times New Roman" w:eastAsia="宋体" w:cs="Times New Roman"/>
          <w:color w:val="auto"/>
          <w:highlight w:val="none"/>
        </w:rPr>
        <w:t>处理有关事宜</w:t>
      </w:r>
      <w:r>
        <w:rPr>
          <w:rFonts w:ascii="Times New Roman" w:hAnsi="Times New Roman" w:eastAsia="宋体" w:cs="Times New Roman"/>
          <w:color w:val="auto"/>
          <w:highlight w:val="none"/>
        </w:rPr>
        <w:t>。</w:t>
      </w:r>
    </w:p>
    <w:p w14:paraId="289B112B">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我方对</w:t>
      </w:r>
      <w:r>
        <w:rPr>
          <w:rFonts w:hint="eastAsia" w:ascii="Times New Roman" w:hAnsi="Times New Roman" w:eastAsia="宋体" w:cs="Times New Roman"/>
          <w:color w:val="auto"/>
          <w:highlight w:val="none"/>
        </w:rPr>
        <w:t>代理</w:t>
      </w:r>
      <w:r>
        <w:rPr>
          <w:rFonts w:ascii="Times New Roman" w:hAnsi="Times New Roman" w:eastAsia="宋体" w:cs="Times New Roman"/>
          <w:color w:val="auto"/>
          <w:highlight w:val="none"/>
        </w:rPr>
        <w:t>人的签字事项负全部责任。</w:t>
      </w:r>
    </w:p>
    <w:p w14:paraId="1DA59ADD">
      <w:pPr>
        <w:snapToGrid w:val="0"/>
        <w:spacing w:before="156" w:beforeLines="50" w:after="50" w:line="440" w:lineRule="exact"/>
        <w:ind w:firstLine="420" w:firstLineChars="200"/>
        <w:rPr>
          <w:color w:val="auto"/>
          <w:highlight w:val="none"/>
        </w:rPr>
      </w:pPr>
      <w:r>
        <w:rPr>
          <w:rFonts w:hint="eastAsia"/>
          <w:color w:val="auto"/>
          <w:highlight w:val="none"/>
        </w:rPr>
        <w:t>委托期限：</w:t>
      </w:r>
    </w:p>
    <w:p w14:paraId="184F74D8">
      <w:pPr>
        <w:pStyle w:val="26"/>
        <w:spacing w:line="400" w:lineRule="exact"/>
        <w:rPr>
          <w:rFonts w:ascii="Times New Roman" w:hAnsi="Times New Roman" w:eastAsia="宋体" w:cs="Times New Roman"/>
          <w:color w:val="auto"/>
          <w:highlight w:val="none"/>
          <w:u w:val="single"/>
        </w:rPr>
      </w:pPr>
    </w:p>
    <w:p w14:paraId="6A2F1BFC">
      <w:pPr>
        <w:spacing w:line="400" w:lineRule="exact"/>
        <w:ind w:firstLine="420" w:firstLineChars="200"/>
        <w:rPr>
          <w:color w:val="auto"/>
          <w:kern w:val="0"/>
          <w:highlight w:val="none"/>
        </w:rPr>
      </w:pPr>
      <w:r>
        <w:rPr>
          <w:color w:val="auto"/>
          <w:kern w:val="0"/>
          <w:highlight w:val="none"/>
        </w:rPr>
        <w:t>代理人无转委托权</w:t>
      </w:r>
      <w:r>
        <w:rPr>
          <w:rFonts w:hint="eastAsia"/>
          <w:color w:val="auto"/>
          <w:kern w:val="0"/>
          <w:highlight w:val="none"/>
        </w:rPr>
        <w:t>，</w:t>
      </w:r>
      <w:r>
        <w:rPr>
          <w:color w:val="auto"/>
          <w:kern w:val="0"/>
          <w:highlight w:val="none"/>
        </w:rPr>
        <w:t>特此委托。</w:t>
      </w:r>
    </w:p>
    <w:p w14:paraId="394E3A79">
      <w:pPr>
        <w:snapToGrid w:val="0"/>
        <w:spacing w:line="400" w:lineRule="exact"/>
        <w:ind w:firstLine="525"/>
        <w:outlineLvl w:val="4"/>
        <w:rPr>
          <w:color w:val="auto"/>
          <w:highlight w:val="none"/>
        </w:rPr>
      </w:pPr>
    </w:p>
    <w:p w14:paraId="262078A0">
      <w:pPr>
        <w:snapToGrid w:val="0"/>
        <w:spacing w:line="400" w:lineRule="exact"/>
        <w:ind w:firstLine="420"/>
        <w:outlineLvl w:val="4"/>
        <w:rPr>
          <w:color w:val="auto"/>
          <w:highlight w:val="none"/>
        </w:rPr>
      </w:pPr>
    </w:p>
    <w:p w14:paraId="102CAF79">
      <w:pPr>
        <w:rPr>
          <w:color w:val="auto"/>
          <w:highlight w:val="none"/>
        </w:rPr>
      </w:pPr>
      <w:r>
        <w:rPr>
          <w:rFonts w:hint="eastAsia"/>
          <w:color w:val="auto"/>
          <w:highlight w:val="none"/>
          <w:lang w:eastAsia="zh-CN"/>
        </w:rPr>
        <w:t>供应商</w:t>
      </w:r>
      <w:r>
        <w:rPr>
          <w:rFonts w:hint="eastAsia"/>
          <w:color w:val="auto"/>
          <w:highlight w:val="none"/>
        </w:rPr>
        <w:t>（公章）：</w:t>
      </w:r>
    </w:p>
    <w:p w14:paraId="76C5EDC6">
      <w:pPr>
        <w:rPr>
          <w:color w:val="auto"/>
          <w:highlight w:val="none"/>
        </w:rPr>
      </w:pPr>
    </w:p>
    <w:p w14:paraId="1AA851A5">
      <w:pPr>
        <w:rPr>
          <w:color w:val="auto"/>
          <w:highlight w:val="none"/>
        </w:rPr>
      </w:pPr>
      <w:r>
        <w:rPr>
          <w:color w:val="auto"/>
          <w:highlight w:val="none"/>
        </w:rPr>
        <w:t>法定代表人（签字或签章）</w:t>
      </w:r>
      <w:r>
        <w:rPr>
          <w:rFonts w:hint="eastAsia"/>
          <w:color w:val="auto"/>
          <w:highlight w:val="none"/>
        </w:rPr>
        <w:t>：</w:t>
      </w:r>
    </w:p>
    <w:p w14:paraId="541A4E51">
      <w:pPr>
        <w:pStyle w:val="20"/>
        <w:rPr>
          <w:color w:val="auto"/>
          <w:highlight w:val="none"/>
        </w:rPr>
      </w:pPr>
    </w:p>
    <w:p w14:paraId="7AD27008">
      <w:pPr>
        <w:rPr>
          <w:color w:val="auto"/>
          <w:highlight w:val="none"/>
        </w:rPr>
      </w:pPr>
      <w:r>
        <w:rPr>
          <w:rFonts w:hint="eastAsia"/>
          <w:color w:val="auto"/>
          <w:highlight w:val="none"/>
        </w:rPr>
        <w:t>身份证号码：</w:t>
      </w:r>
    </w:p>
    <w:p w14:paraId="48D52522">
      <w:pPr>
        <w:pStyle w:val="55"/>
        <w:rPr>
          <w:color w:val="auto"/>
          <w:highlight w:val="none"/>
        </w:rPr>
      </w:pPr>
    </w:p>
    <w:p w14:paraId="253945E1">
      <w:pPr>
        <w:rPr>
          <w:color w:val="auto"/>
          <w:highlight w:val="none"/>
        </w:rPr>
      </w:pPr>
      <w:r>
        <w:rPr>
          <w:rFonts w:hint="eastAsia"/>
          <w:color w:val="auto"/>
          <w:highlight w:val="none"/>
        </w:rPr>
        <w:t>委托代理人</w:t>
      </w:r>
      <w:r>
        <w:rPr>
          <w:color w:val="auto"/>
          <w:highlight w:val="none"/>
        </w:rPr>
        <w:t>（</w:t>
      </w:r>
      <w:r>
        <w:rPr>
          <w:rFonts w:hint="eastAsia"/>
          <w:color w:val="auto"/>
          <w:highlight w:val="none"/>
        </w:rPr>
        <w:t>签字或签章</w:t>
      </w:r>
      <w:r>
        <w:rPr>
          <w:color w:val="auto"/>
          <w:highlight w:val="none"/>
        </w:rPr>
        <w:t>）</w:t>
      </w:r>
      <w:r>
        <w:rPr>
          <w:rFonts w:hint="eastAsia"/>
          <w:color w:val="auto"/>
          <w:highlight w:val="none"/>
        </w:rPr>
        <w:t>：</w:t>
      </w:r>
    </w:p>
    <w:p w14:paraId="33A46712">
      <w:pPr>
        <w:pStyle w:val="20"/>
        <w:rPr>
          <w:color w:val="auto"/>
          <w:highlight w:val="none"/>
        </w:rPr>
      </w:pPr>
    </w:p>
    <w:p w14:paraId="025699AF">
      <w:pPr>
        <w:rPr>
          <w:color w:val="auto"/>
          <w:highlight w:val="none"/>
        </w:rPr>
      </w:pPr>
      <w:r>
        <w:rPr>
          <w:rFonts w:hint="eastAsia"/>
          <w:color w:val="auto"/>
          <w:highlight w:val="none"/>
        </w:rPr>
        <w:t>身份证号码：</w:t>
      </w:r>
    </w:p>
    <w:p w14:paraId="29EACCF8">
      <w:pPr>
        <w:rPr>
          <w:bCs/>
          <w:color w:val="auto"/>
          <w:szCs w:val="22"/>
          <w:highlight w:val="none"/>
        </w:rPr>
      </w:pPr>
    </w:p>
    <w:p w14:paraId="02926A7F">
      <w:pPr>
        <w:rPr>
          <w:bCs/>
          <w:color w:val="auto"/>
          <w:szCs w:val="22"/>
          <w:highlight w:val="none"/>
        </w:rPr>
      </w:pPr>
      <w:r>
        <w:rPr>
          <w:bCs/>
          <w:color w:val="auto"/>
          <w:szCs w:val="22"/>
          <w:highlight w:val="none"/>
        </w:rPr>
        <w:t>日期</w:t>
      </w:r>
      <w:r>
        <w:rPr>
          <w:rFonts w:hint="eastAsia"/>
          <w:bCs/>
          <w:color w:val="auto"/>
          <w:szCs w:val="22"/>
          <w:highlight w:val="none"/>
        </w:rPr>
        <w:t>：</w:t>
      </w:r>
    </w:p>
    <w:p w14:paraId="6E04336E">
      <w:pPr>
        <w:snapToGrid w:val="0"/>
        <w:spacing w:line="400" w:lineRule="exact"/>
        <w:outlineLvl w:val="4"/>
        <w:rPr>
          <w:color w:val="auto"/>
          <w:highlight w:val="none"/>
        </w:rPr>
      </w:pPr>
    </w:p>
    <w:p w14:paraId="7DCC0CC8">
      <w:pPr>
        <w:pStyle w:val="20"/>
        <w:rPr>
          <w:color w:val="auto"/>
          <w:highlight w:val="none"/>
        </w:rPr>
      </w:pPr>
    </w:p>
    <w:p w14:paraId="63919270">
      <w:pPr>
        <w:snapToGrid w:val="0"/>
        <w:spacing w:line="400" w:lineRule="exact"/>
        <w:outlineLvl w:val="4"/>
        <w:rPr>
          <w:bCs/>
          <w:color w:val="auto"/>
          <w:highlight w:val="none"/>
        </w:rPr>
      </w:pPr>
      <w:r>
        <w:rPr>
          <w:bCs/>
          <w:color w:val="auto"/>
          <w:highlight w:val="none"/>
        </w:rPr>
        <w:t>附：法定代表人有效的身份证复印件及授权代表有效的身份证复印件</w:t>
      </w:r>
    </w:p>
    <w:p w14:paraId="0EFE8F9D">
      <w:pPr>
        <w:pStyle w:val="20"/>
        <w:rPr>
          <w:color w:val="auto"/>
          <w:highlight w:val="none"/>
        </w:rPr>
      </w:pPr>
      <w:r>
        <w:rPr>
          <w:rFonts w:hint="eastAsia"/>
          <w:bCs/>
          <w:color w:val="auto"/>
          <w:highlight w:val="none"/>
        </w:rPr>
        <w:t>注：本授权委托书需由</w:t>
      </w:r>
      <w:r>
        <w:rPr>
          <w:rFonts w:hint="eastAsia"/>
          <w:bCs/>
          <w:color w:val="auto"/>
          <w:highlight w:val="none"/>
          <w:lang w:eastAsia="zh-CN"/>
        </w:rPr>
        <w:t>供应商</w:t>
      </w:r>
      <w:r>
        <w:rPr>
          <w:rFonts w:hint="eastAsia"/>
          <w:bCs/>
          <w:color w:val="auto"/>
          <w:highlight w:val="none"/>
        </w:rPr>
        <w:t>加盖单位公章并由其法定代表人和委托代理签字或签章。</w:t>
      </w:r>
    </w:p>
    <w:p w14:paraId="7FE7E521">
      <w:pPr>
        <w:pStyle w:val="20"/>
        <w:ind w:firstLine="420" w:firstLineChars="200"/>
        <w:rPr>
          <w:bCs/>
          <w:color w:val="auto"/>
          <w:highlight w:val="none"/>
        </w:rPr>
      </w:pPr>
    </w:p>
    <w:p w14:paraId="05B1CA2B">
      <w:pPr>
        <w:pStyle w:val="3"/>
        <w:keepNext w:val="0"/>
        <w:pageBreakBefore/>
        <w:spacing w:line="400" w:lineRule="exact"/>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DBC4DF2">
      <w:pPr>
        <w:spacing w:line="380" w:lineRule="exact"/>
        <w:rPr>
          <w:rFonts w:ascii="宋体" w:hAnsi="宋体" w:cs="宋体"/>
          <w:b/>
          <w:color w:val="auto"/>
          <w:highlight w:val="none"/>
        </w:rPr>
      </w:pPr>
      <w:r>
        <w:rPr>
          <w:rFonts w:hint="eastAsia" w:ascii="宋体" w:hAnsi="宋体" w:cs="宋体"/>
          <w:b/>
          <w:color w:val="auto"/>
          <w:highlight w:val="none"/>
          <w:lang w:val="en-US" w:eastAsia="zh-CN"/>
        </w:rPr>
        <w:t>6.</w:t>
      </w:r>
      <w:r>
        <w:rPr>
          <w:rFonts w:hint="eastAsia" w:ascii="宋体" w:hAnsi="宋体" w:cs="宋体"/>
          <w:b/>
          <w:color w:val="auto"/>
          <w:highlight w:val="none"/>
        </w:rPr>
        <w:t>磋商保证金缴纳证明。（加盖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290E432A">
      <w:pPr>
        <w:spacing w:line="380" w:lineRule="exact"/>
        <w:rPr>
          <w:rFonts w:ascii="宋体" w:hAnsi="宋体" w:cs="宋体"/>
          <w:b/>
          <w:bCs/>
          <w:color w:val="auto"/>
          <w:highlight w:val="none"/>
        </w:rPr>
      </w:pPr>
    </w:p>
    <w:p w14:paraId="6E2FFC67">
      <w:pPr>
        <w:spacing w:line="380" w:lineRule="exact"/>
        <w:rPr>
          <w:rFonts w:ascii="宋体" w:hAnsi="宋体" w:cs="宋体"/>
          <w:b/>
          <w:bCs/>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资格审查部分</w:t>
      </w:r>
    </w:p>
    <w:p w14:paraId="293933C1">
      <w:pPr>
        <w:spacing w:line="380" w:lineRule="exac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-1.</w:t>
      </w:r>
      <w:r>
        <w:rPr>
          <w:rFonts w:hint="eastAsia" w:ascii="宋体" w:hAnsi="宋体" w:cs="宋体"/>
          <w:color w:val="auto"/>
          <w:highlight w:val="none"/>
        </w:rPr>
        <w:t>法人或者其他组织的营业执照</w:t>
      </w:r>
      <w:r>
        <w:rPr>
          <w:rFonts w:hint="eastAsia"/>
          <w:color w:val="auto"/>
          <w:highlight w:val="none"/>
          <w:lang w:val="en-US" w:eastAsia="zh-CN"/>
        </w:rPr>
        <w:t>复印件</w:t>
      </w:r>
      <w:r>
        <w:rPr>
          <w:rFonts w:hint="eastAsia" w:ascii="宋体" w:hAnsi="宋体" w:cs="宋体"/>
          <w:color w:val="auto"/>
          <w:highlight w:val="none"/>
        </w:rPr>
        <w:t>等证明文件。即</w:t>
      </w:r>
      <w:r>
        <w:rPr>
          <w:rFonts w:hint="eastAsia" w:ascii="宋体" w:hAnsi="宋体" w:cs="宋体"/>
          <w:color w:val="auto"/>
          <w:highlight w:val="none"/>
          <w:lang w:eastAsia="zh-CN"/>
        </w:rPr>
        <w:t>供应商</w:t>
      </w:r>
      <w:r>
        <w:rPr>
          <w:rFonts w:hint="eastAsia" w:ascii="宋体" w:hAnsi="宋体" w:cs="宋体"/>
          <w:color w:val="auto"/>
          <w:highlight w:val="none"/>
        </w:rPr>
        <w:t>是企业则提供营业执照（副本）复印件；</w:t>
      </w:r>
      <w:r>
        <w:rPr>
          <w:rFonts w:hint="eastAsia" w:ascii="宋体" w:hAnsi="宋体" w:cs="宋体"/>
          <w:color w:val="auto"/>
          <w:highlight w:val="none"/>
          <w:lang w:eastAsia="zh-CN"/>
        </w:rPr>
        <w:t>供应商</w:t>
      </w:r>
      <w:r>
        <w:rPr>
          <w:rFonts w:hint="eastAsia" w:ascii="宋体" w:hAnsi="宋体" w:cs="宋体"/>
          <w:color w:val="auto"/>
          <w:highlight w:val="none"/>
        </w:rPr>
        <w:t>是事业单位，则提供事业单位法人证书（副本）复印件；</w:t>
      </w:r>
      <w:r>
        <w:rPr>
          <w:rFonts w:hint="eastAsia" w:ascii="宋体" w:hAnsi="宋体" w:cs="宋体"/>
          <w:color w:val="auto"/>
          <w:highlight w:val="none"/>
          <w:lang w:eastAsia="zh-CN"/>
        </w:rPr>
        <w:t>供应商</w:t>
      </w:r>
      <w:r>
        <w:rPr>
          <w:rFonts w:hint="eastAsia" w:ascii="宋体" w:hAnsi="宋体" w:cs="宋体"/>
          <w:color w:val="auto"/>
          <w:highlight w:val="none"/>
        </w:rPr>
        <w:t>是非企业专业服务机构的，则提供执业许可证等证明文件复印件；</w:t>
      </w:r>
      <w:r>
        <w:rPr>
          <w:rFonts w:hint="eastAsia" w:ascii="宋体" w:hAnsi="宋体" w:cs="宋体"/>
          <w:color w:val="auto"/>
          <w:highlight w:val="none"/>
          <w:lang w:eastAsia="zh-CN"/>
        </w:rPr>
        <w:t>供应商</w:t>
      </w:r>
      <w:r>
        <w:rPr>
          <w:rFonts w:hint="eastAsia" w:ascii="宋体" w:hAnsi="宋体" w:cs="宋体"/>
          <w:color w:val="auto"/>
          <w:highlight w:val="none"/>
        </w:rPr>
        <w:t>是个体工商户，则提供个体工商户营业执照复印件；如</w:t>
      </w:r>
      <w:r>
        <w:rPr>
          <w:rFonts w:hint="eastAsia" w:ascii="宋体" w:hAnsi="宋体" w:cs="宋体"/>
          <w:color w:val="auto"/>
          <w:highlight w:val="none"/>
          <w:lang w:eastAsia="zh-CN"/>
        </w:rPr>
        <w:t>供应商</w:t>
      </w:r>
      <w:r>
        <w:rPr>
          <w:rFonts w:hint="eastAsia" w:ascii="宋体" w:hAnsi="宋体" w:cs="宋体"/>
          <w:color w:val="auto"/>
          <w:highlight w:val="none"/>
        </w:rPr>
        <w:t>不是以上所列的法人、组织的，则提供国家规定的相关证明材料。</w:t>
      </w:r>
      <w:r>
        <w:rPr>
          <w:rFonts w:hint="eastAsia" w:ascii="宋体" w:hAnsi="宋体"/>
          <w:b/>
          <w:bCs/>
          <w:color w:val="auto"/>
          <w:szCs w:val="21"/>
          <w:highlight w:val="none"/>
        </w:rPr>
        <w:t>分公司参加投标的，应当取得总公司授权，并提供总公司的授权文件扫描件（加盖总公司公章），格式自拟。</w:t>
      </w:r>
      <w:r>
        <w:rPr>
          <w:rFonts w:hint="eastAsia" w:ascii="宋体" w:hAnsi="宋体" w:cs="宋体"/>
          <w:b/>
          <w:bCs/>
          <w:color w:val="auto"/>
          <w:highlight w:val="none"/>
        </w:rPr>
        <w:t>（加盖</w:t>
      </w:r>
      <w:r>
        <w:rPr>
          <w:rFonts w:hint="eastAsia" w:ascii="宋体" w:hAnsi="宋体" w:cs="宋体"/>
          <w:b/>
          <w:bCs/>
          <w:color w:val="auto"/>
          <w:highlight w:val="none"/>
          <w:lang w:eastAsia="zh-CN"/>
        </w:rPr>
        <w:t>供应商</w:t>
      </w:r>
      <w:r>
        <w:rPr>
          <w:rFonts w:hint="eastAsia" w:ascii="宋体" w:hAnsi="宋体" w:cs="宋体"/>
          <w:b/>
          <w:bCs/>
          <w:color w:val="auto"/>
          <w:highlight w:val="none"/>
        </w:rPr>
        <w:t>公章）（必须提供）</w:t>
      </w:r>
    </w:p>
    <w:p w14:paraId="24E7A8E3">
      <w:pPr>
        <w:spacing w:line="380" w:lineRule="exact"/>
        <w:rPr>
          <w:rFonts w:ascii="宋体" w:hAnsi="宋体" w:cs="宋体"/>
          <w:b/>
          <w:color w:val="auto"/>
          <w:highlight w:val="none"/>
        </w:rPr>
      </w:pPr>
    </w:p>
    <w:p w14:paraId="32B49C2C">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-2.</w:t>
      </w:r>
      <w:r>
        <w:rPr>
          <w:rFonts w:hint="eastAsia" w:ascii="宋体" w:hAnsi="宋体" w:cs="宋体"/>
          <w:bCs/>
          <w:color w:val="auto"/>
          <w:highlight w:val="none"/>
        </w:rPr>
        <w:t>2024年财务状况报告（表）复印件或银行出具的资信证明复印件。对于从取得营业执照时间起到截标时间为止不足1年的</w:t>
      </w:r>
      <w:r>
        <w:rPr>
          <w:rFonts w:hint="eastAsia" w:ascii="宋体" w:hAnsi="宋体" w:cs="宋体"/>
          <w:bCs/>
          <w:color w:val="auto"/>
          <w:highlight w:val="none"/>
          <w:lang w:eastAsia="zh-CN"/>
        </w:rPr>
        <w:t>供应商</w:t>
      </w:r>
      <w:r>
        <w:rPr>
          <w:rFonts w:hint="eastAsia" w:ascii="宋体" w:hAnsi="宋体" w:cs="宋体"/>
          <w:bCs/>
          <w:color w:val="auto"/>
          <w:highlight w:val="none"/>
        </w:rPr>
        <w:t>，只需提交截标时间前一个月的财务状况报告（表）复印件。</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1240CFFE">
      <w:pPr>
        <w:spacing w:line="380" w:lineRule="exact"/>
        <w:rPr>
          <w:rFonts w:ascii="宋体" w:hAnsi="宋体" w:cs="宋体"/>
          <w:b/>
          <w:color w:val="auto"/>
          <w:highlight w:val="none"/>
        </w:rPr>
      </w:pPr>
    </w:p>
    <w:p w14:paraId="63B63895">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-3.</w:t>
      </w:r>
      <w:r>
        <w:rPr>
          <w:rFonts w:hint="eastAsia" w:ascii="宋体" w:hAnsi="宋体" w:cs="宋体"/>
          <w:bCs/>
          <w:color w:val="auto"/>
          <w:highlight w:val="none"/>
        </w:rPr>
        <w:t>依法缴纳税费证明</w:t>
      </w:r>
      <w:r>
        <w:rPr>
          <w:rFonts w:hint="eastAsia" w:ascii="宋体" w:hAnsi="宋体" w:cs="宋体"/>
          <w:bCs/>
          <w:color w:val="auto"/>
          <w:highlight w:val="none"/>
          <w:lang w:val="en-US" w:eastAsia="zh-CN"/>
        </w:rPr>
        <w:t>材料</w:t>
      </w:r>
      <w:r>
        <w:rPr>
          <w:rFonts w:hint="eastAsia" w:ascii="宋体" w:hAnsi="宋体" w:cs="宋体"/>
          <w:bCs/>
          <w:color w:val="auto"/>
          <w:highlight w:val="none"/>
        </w:rPr>
        <w:t>。</w:t>
      </w:r>
      <w:r>
        <w:rPr>
          <w:rFonts w:hint="eastAsia" w:ascii="宋体" w:hAnsi="宋体" w:cs="宋体"/>
          <w:bCs/>
          <w:color w:val="auto"/>
          <w:highlight w:val="none"/>
          <w:lang w:eastAsia="zh-CN"/>
        </w:rPr>
        <w:t>竞标</w:t>
      </w:r>
      <w:r>
        <w:rPr>
          <w:rFonts w:hint="eastAsia" w:ascii="宋体" w:hAnsi="宋体" w:cs="宋体"/>
          <w:bCs/>
          <w:color w:val="auto"/>
          <w:highlight w:val="none"/>
        </w:rPr>
        <w:t>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任意1个月依法缴纳税费证明复印件加盖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成立不足1个月的，无须提供缴纳税费证明加盖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公章。依法免税的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，须提供相应文件证明其依法免税。</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6BE10A0D">
      <w:pPr>
        <w:snapToGrid w:val="0"/>
        <w:spacing w:line="380" w:lineRule="exact"/>
        <w:jc w:val="left"/>
        <w:rPr>
          <w:rFonts w:ascii="宋体" w:hAnsi="宋体" w:cs="宋体"/>
          <w:bCs/>
          <w:color w:val="auto"/>
          <w:highlight w:val="none"/>
        </w:rPr>
      </w:pPr>
    </w:p>
    <w:p w14:paraId="59FE368F">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-4.</w:t>
      </w:r>
      <w:r>
        <w:rPr>
          <w:rFonts w:hint="eastAsia" w:ascii="宋体" w:hAnsi="宋体" w:cs="宋体"/>
          <w:bCs/>
          <w:color w:val="auto"/>
          <w:highlight w:val="none"/>
        </w:rPr>
        <w:t>依法缴纳社会保险缴纳证明材料。协商截止时间前6个月内，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任意1个月的社保缴费证明记录复印件加盖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成立不足1个月的，无须提供缴纳社保缴费证明加盖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公章。依法免缴纳社会保障资金的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，须提供相应文件证明其依法免缴纳社会保障资金。</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682BEB86">
      <w:pPr>
        <w:spacing w:line="380" w:lineRule="exact"/>
        <w:rPr>
          <w:rFonts w:ascii="宋体" w:hAnsi="宋体" w:cs="宋体"/>
          <w:b/>
          <w:color w:val="auto"/>
          <w:highlight w:val="none"/>
        </w:rPr>
      </w:pPr>
    </w:p>
    <w:p w14:paraId="258421F6">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-5.</w:t>
      </w:r>
      <w:r>
        <w:rPr>
          <w:rFonts w:hint="eastAsia" w:ascii="宋体" w:hAnsi="宋体" w:cs="宋体"/>
          <w:bCs/>
          <w:color w:val="auto"/>
          <w:highlight w:val="none"/>
        </w:rPr>
        <w:t>信用信息</w:t>
      </w:r>
      <w:r>
        <w:rPr>
          <w:rFonts w:hint="eastAsia" w:ascii="宋体" w:hAnsi="宋体" w:cs="宋体"/>
          <w:b/>
          <w:color w:val="auto"/>
          <w:highlight w:val="none"/>
        </w:rPr>
        <w:t>（必须提供）</w:t>
      </w:r>
    </w:p>
    <w:p w14:paraId="4DC2AFA2">
      <w:pPr>
        <w:adjustRightInd w:val="0"/>
        <w:snapToGrid w:val="0"/>
        <w:spacing w:line="380" w:lineRule="exact"/>
        <w:ind w:firstLine="420" w:firstLineChars="200"/>
        <w:jc w:val="left"/>
        <w:rPr>
          <w:rFonts w:ascii="宋体" w:hAnsi="宋体" w:cs="宋体"/>
          <w:color w:val="auto"/>
          <w:highlight w:val="none"/>
        </w:rPr>
      </w:pPr>
      <w:r>
        <w:rPr>
          <w:rFonts w:hint="eastAsia" w:ascii="宋体" w:hAnsi="宋体" w:cs="宋体"/>
          <w:bCs/>
          <w:color w:val="auto"/>
          <w:highlight w:val="none"/>
        </w:rPr>
        <w:t>信用信息证明材料。</w:t>
      </w:r>
      <w:r>
        <w:rPr>
          <w:rFonts w:hint="eastAsia" w:ascii="宋体" w:hAnsi="宋体" w:cs="宋体"/>
          <w:color w:val="auto"/>
          <w:highlight w:val="none"/>
          <w:lang w:eastAsia="zh-CN"/>
        </w:rPr>
        <w:t>供应商</w:t>
      </w:r>
      <w:r>
        <w:rPr>
          <w:rFonts w:hint="eastAsia" w:ascii="宋体" w:hAnsi="宋体" w:cs="宋体"/>
          <w:color w:val="auto"/>
          <w:highlight w:val="none"/>
        </w:rPr>
        <w:t>可在“信用中国”网站（www.creditchina.gov.cn）查询</w:t>
      </w:r>
      <w:r>
        <w:rPr>
          <w:rFonts w:hint="eastAsia" w:ascii="宋体" w:hAnsi="宋体" w:cs="宋体"/>
          <w:color w:val="auto"/>
          <w:highlight w:val="none"/>
          <w:lang w:eastAsia="zh-CN"/>
        </w:rPr>
        <w:t>供应商</w:t>
      </w:r>
      <w:r>
        <w:rPr>
          <w:rFonts w:hint="eastAsia" w:ascii="宋体" w:hAnsi="宋体" w:cs="宋体"/>
          <w:color w:val="auto"/>
          <w:highlight w:val="none"/>
        </w:rPr>
        <w:t>主体信用记录</w:t>
      </w:r>
      <w:r>
        <w:rPr>
          <w:rFonts w:hint="eastAsia" w:ascii="宋体" w:hAnsi="宋体" w:cs="宋体"/>
          <w:b/>
          <w:bCs/>
          <w:color w:val="auto"/>
          <w:highlight w:val="none"/>
        </w:rPr>
        <w:t>（网站查询记录必须提供）</w:t>
      </w:r>
      <w:r>
        <w:rPr>
          <w:rFonts w:hint="eastAsia" w:ascii="宋体" w:hAnsi="宋体" w:cs="宋体"/>
          <w:color w:val="auto"/>
          <w:highlight w:val="none"/>
        </w:rPr>
        <w:t>。</w:t>
      </w:r>
    </w:p>
    <w:p w14:paraId="10915CD5">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kern w:val="0"/>
          <w:highlight w:val="none"/>
        </w:rPr>
        <w:t>信用信息查询结果网页打印件（查询结果网页打印件并加盖公章）</w:t>
      </w:r>
    </w:p>
    <w:p w14:paraId="5513D128">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highlight w:val="none"/>
        </w:rPr>
        <w:t>网页</w:t>
      </w:r>
      <w:r>
        <w:rPr>
          <w:rFonts w:hint="eastAsia" w:hAnsi="宋体" w:eastAsia="宋体"/>
          <w:color w:val="auto"/>
          <w:kern w:val="0"/>
          <w:highlight w:val="none"/>
        </w:rPr>
        <w:t>打印件</w:t>
      </w:r>
      <w:r>
        <w:rPr>
          <w:rFonts w:hint="eastAsia" w:hAnsi="宋体" w:eastAsia="宋体"/>
          <w:color w:val="auto"/>
          <w:highlight w:val="none"/>
        </w:rPr>
        <w:t>须显示</w:t>
      </w:r>
      <w:r>
        <w:rPr>
          <w:rFonts w:hint="eastAsia" w:hAnsi="宋体" w:eastAsia="宋体"/>
          <w:color w:val="auto"/>
          <w:highlight w:val="none"/>
          <w:lang w:eastAsia="zh-CN"/>
        </w:rPr>
        <w:t>供应商</w:t>
      </w:r>
      <w:r>
        <w:rPr>
          <w:rFonts w:hint="eastAsia" w:hAnsi="宋体" w:eastAsia="宋体"/>
          <w:color w:val="auto"/>
          <w:highlight w:val="none"/>
        </w:rPr>
        <w:t>名称以及“失信被执行人”、“</w:t>
      </w:r>
      <w:r>
        <w:rPr>
          <w:rFonts w:ascii="Times New Roman" w:hAnsi="Times New Roman" w:cs="Times New Roman" w:eastAsiaTheme="minorEastAsia"/>
          <w:color w:val="auto"/>
          <w:kern w:val="0"/>
          <w:highlight w:val="none"/>
        </w:rPr>
        <w:t>重大税收违法失信主体</w:t>
      </w:r>
      <w:r>
        <w:rPr>
          <w:rFonts w:hint="eastAsia" w:hAnsi="宋体" w:eastAsia="宋体"/>
          <w:color w:val="auto"/>
          <w:highlight w:val="none"/>
        </w:rPr>
        <w:t>”查询结果、打印时间或查询时间。</w:t>
      </w:r>
    </w:p>
    <w:p w14:paraId="187C487C">
      <w:pPr>
        <w:pStyle w:val="12"/>
        <w:spacing w:line="380" w:lineRule="exact"/>
        <w:ind w:left="0"/>
        <w:rPr>
          <w:rFonts w:ascii="宋体" w:hAnsi="宋体" w:cs="宋体"/>
          <w:color w:val="auto"/>
          <w:highlight w:val="none"/>
        </w:rPr>
      </w:pPr>
    </w:p>
    <w:p w14:paraId="54065092">
      <w:pPr>
        <w:pStyle w:val="12"/>
        <w:ind w:left="0"/>
        <w:rPr>
          <w:rFonts w:ascii="宋体" w:hAnsi="宋体" w:cs="宋体"/>
          <w:b/>
          <w:color w:val="auto"/>
          <w:highlight w:val="none"/>
        </w:rPr>
      </w:pPr>
    </w:p>
    <w:p w14:paraId="4209DB14">
      <w:pPr>
        <w:pStyle w:val="12"/>
        <w:ind w:left="0"/>
        <w:rPr>
          <w:rFonts w:hint="eastAsia" w:ascii="Arial" w:hAnsi="Arial" w:cs="Arial"/>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FC36C96">
      <w:pPr>
        <w:pStyle w:val="12"/>
        <w:ind w:left="0"/>
        <w:rPr>
          <w:rFonts w:hint="eastAsia" w:ascii="Arial" w:hAnsi="Arial" w:cs="Arial"/>
          <w:color w:val="auto"/>
          <w:highlight w:val="none"/>
        </w:rPr>
      </w:pPr>
      <w:r>
        <w:rPr>
          <w:rFonts w:hint="eastAsia" w:ascii="Arial" w:hAnsi="Arial" w:cs="Arial"/>
          <w:color w:val="auto"/>
          <w:highlight w:val="none"/>
        </w:rPr>
        <w:t>信用中国</w:t>
      </w:r>
      <w:r>
        <w:rPr>
          <w:rFonts w:ascii="Arial" w:hAnsi="Arial" w:cs="Arial"/>
          <w:color w:val="auto"/>
          <w:highlight w:val="none"/>
        </w:rPr>
        <w:t>失信被执行人</w:t>
      </w:r>
      <w:r>
        <w:rPr>
          <w:rFonts w:hint="eastAsia" w:ascii="Arial" w:hAnsi="Arial" w:cs="Arial"/>
          <w:color w:val="auto"/>
          <w:highlight w:val="none"/>
        </w:rPr>
        <w:t>查询示意图</w:t>
      </w:r>
    </w:p>
    <w:p w14:paraId="48C7983A">
      <w:pPr>
        <w:pStyle w:val="20"/>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3C39821C">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7" name="图片 7" descr="失信被执行人查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失信被执行人查询_00"/>
                    <pic:cNvPicPr>
                      <a:picLocks noChangeAspect="1"/>
                    </pic:cNvPicPr>
                  </pic:nvPicPr>
                  <pic:blipFill>
                    <a:blip r:embed="rId11"/>
                    <a:stretch>
                      <a:fillRect/>
                    </a:stretch>
                  </pic:blipFill>
                  <pic:spPr>
                    <a:xfrm>
                      <a:off x="0" y="0"/>
                      <a:ext cx="5808980" cy="8220075"/>
                    </a:xfrm>
                    <a:prstGeom prst="rect">
                      <a:avLst/>
                    </a:prstGeom>
                  </pic:spPr>
                </pic:pic>
              </a:graphicData>
            </a:graphic>
          </wp:inline>
        </w:drawing>
      </w:r>
    </w:p>
    <w:p w14:paraId="5BE23FE3">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0" name="图片 10" descr="失信被执行人查询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失信被执行人查询02_00"/>
                    <pic:cNvPicPr>
                      <a:picLocks noChangeAspect="1"/>
                    </pic:cNvPicPr>
                  </pic:nvPicPr>
                  <pic:blipFill>
                    <a:blip r:embed="rId12"/>
                    <a:stretch>
                      <a:fillRect/>
                    </a:stretch>
                  </pic:blipFill>
                  <pic:spPr>
                    <a:xfrm>
                      <a:off x="0" y="0"/>
                      <a:ext cx="5808980" cy="8220075"/>
                    </a:xfrm>
                    <a:prstGeom prst="rect">
                      <a:avLst/>
                    </a:prstGeom>
                  </pic:spPr>
                </pic:pic>
              </a:graphicData>
            </a:graphic>
          </wp:inline>
        </w:drawing>
      </w:r>
    </w:p>
    <w:p w14:paraId="60672ADE">
      <w:pPr>
        <w:pStyle w:val="14"/>
        <w:rPr>
          <w:color w:val="auto"/>
          <w:highlight w:val="none"/>
        </w:rPr>
      </w:pPr>
    </w:p>
    <w:p w14:paraId="3DC327F5">
      <w:pPr>
        <w:spacing w:line="240" w:lineRule="exact"/>
        <w:rPr>
          <w:color w:val="auto"/>
          <w:highlight w:val="none"/>
        </w:rPr>
      </w:pPr>
    </w:p>
    <w:p w14:paraId="27ABD75F">
      <w:pPr>
        <w:pStyle w:val="12"/>
        <w:spacing w:line="240" w:lineRule="exact"/>
        <w:ind w:left="0"/>
        <w:rPr>
          <w:rFonts w:eastAsiaTheme="minorEastAsia"/>
          <w:color w:val="auto"/>
          <w:kern w:val="0"/>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50B0786E">
      <w:pPr>
        <w:pStyle w:val="12"/>
        <w:spacing w:line="240" w:lineRule="exact"/>
        <w:ind w:left="0"/>
        <w:rPr>
          <w:rFonts w:hint="eastAsia" w:ascii="Arial" w:hAnsi="Arial" w:cs="Arial"/>
          <w:color w:val="auto"/>
          <w:highlight w:val="none"/>
        </w:rPr>
      </w:pPr>
      <w:r>
        <w:rPr>
          <w:rFonts w:eastAsiaTheme="minorEastAsia"/>
          <w:color w:val="auto"/>
          <w:kern w:val="0"/>
          <w:highlight w:val="none"/>
        </w:rPr>
        <w:t>重大税收违法失信主体</w:t>
      </w:r>
      <w:r>
        <w:rPr>
          <w:rFonts w:hint="eastAsia" w:ascii="Arial" w:hAnsi="Arial" w:cs="Arial"/>
          <w:color w:val="auto"/>
          <w:highlight w:val="none"/>
        </w:rPr>
        <w:t>查询示意图</w:t>
      </w:r>
    </w:p>
    <w:p w14:paraId="52557607">
      <w:pPr>
        <w:pStyle w:val="20"/>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6E0E536D">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1" name="图片 11" descr="重大税收违法失信主体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大税收违法失信主体_00"/>
                    <pic:cNvPicPr>
                      <a:picLocks noChangeAspect="1"/>
                    </pic:cNvPicPr>
                  </pic:nvPicPr>
                  <pic:blipFill>
                    <a:blip r:embed="rId13"/>
                    <a:stretch>
                      <a:fillRect/>
                    </a:stretch>
                  </pic:blipFill>
                  <pic:spPr>
                    <a:xfrm>
                      <a:off x="0" y="0"/>
                      <a:ext cx="5808980" cy="8220075"/>
                    </a:xfrm>
                    <a:prstGeom prst="rect">
                      <a:avLst/>
                    </a:prstGeom>
                  </pic:spPr>
                </pic:pic>
              </a:graphicData>
            </a:graphic>
          </wp:inline>
        </w:drawing>
      </w:r>
    </w:p>
    <w:p w14:paraId="2B95994F">
      <w:pPr>
        <w:jc w:val="left"/>
        <w:rPr>
          <w:color w:val="auto"/>
          <w:highlight w:val="none"/>
        </w:rPr>
      </w:pPr>
    </w:p>
    <w:p w14:paraId="3734EB1A">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2" name="图片 12" descr="重大税收违法失信主体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大税收违法失信主体02_00"/>
                    <pic:cNvPicPr>
                      <a:picLocks noChangeAspect="1"/>
                    </pic:cNvPicPr>
                  </pic:nvPicPr>
                  <pic:blipFill>
                    <a:blip r:embed="rId14"/>
                    <a:stretch>
                      <a:fillRect/>
                    </a:stretch>
                  </pic:blipFill>
                  <pic:spPr>
                    <a:xfrm>
                      <a:off x="0" y="0"/>
                      <a:ext cx="5808980" cy="8220075"/>
                    </a:xfrm>
                    <a:prstGeom prst="rect">
                      <a:avLst/>
                    </a:prstGeom>
                  </pic:spPr>
                </pic:pic>
              </a:graphicData>
            </a:graphic>
          </wp:inline>
        </w:drawing>
      </w:r>
    </w:p>
    <w:p w14:paraId="184F30D4">
      <w:pPr>
        <w:snapToGrid w:val="0"/>
        <w:spacing w:before="50" w:after="156" w:afterLines="50" w:line="400" w:lineRule="exact"/>
        <w:jc w:val="left"/>
        <w:rPr>
          <w:rFonts w:ascii="Arial" w:hAnsi="Arial" w:cs="Arial"/>
          <w:color w:val="auto"/>
          <w:highlight w:val="none"/>
        </w:rPr>
      </w:pPr>
    </w:p>
    <w:p w14:paraId="3F202482">
      <w:pPr>
        <w:jc w:val="left"/>
        <w:rPr>
          <w:rFonts w:ascii="Arial" w:hAnsi="Arial" w:cs="Arial"/>
          <w:color w:val="auto"/>
          <w:highlight w:val="none"/>
        </w:rPr>
      </w:pPr>
      <w:r>
        <w:rPr>
          <w:rFonts w:hint="eastAsia" w:ascii="Arial" w:hAnsi="Arial" w:cs="Arial"/>
          <w:color w:val="auto"/>
          <w:highlight w:val="none"/>
        </w:rPr>
        <w:br w:type="page"/>
      </w:r>
    </w:p>
    <w:p w14:paraId="2ED534E8">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6.</w:t>
      </w:r>
      <w:r>
        <w:rPr>
          <w:rFonts w:hint="eastAsia" w:ascii="宋体" w:hAnsi="宋体" w:cs="宋体"/>
          <w:bCs/>
          <w:color w:val="auto"/>
          <w:highlight w:val="none"/>
        </w:rPr>
        <w:t>具备法律、行政法规规定的其他要求的证明材料。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5AD493C6">
      <w:pPr>
        <w:spacing w:line="380" w:lineRule="exact"/>
        <w:rPr>
          <w:rFonts w:ascii="宋体" w:hAnsi="宋体" w:cs="宋体"/>
          <w:b/>
          <w:color w:val="auto"/>
          <w:highlight w:val="none"/>
        </w:rPr>
      </w:pPr>
    </w:p>
    <w:p w14:paraId="61776EF3">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-7.</w:t>
      </w:r>
      <w:r>
        <w:rPr>
          <w:rFonts w:hint="eastAsia" w:ascii="宋体" w:hAnsi="宋体" w:cs="宋体"/>
          <w:bCs/>
          <w:color w:val="auto"/>
          <w:highlight w:val="none"/>
        </w:rPr>
        <w:t>满足</w:t>
      </w:r>
      <w:r>
        <w:rPr>
          <w:rFonts w:hint="eastAsia" w:ascii="宋体" w:hAnsi="宋体" w:cs="宋体"/>
          <w:bCs/>
          <w:color w:val="auto"/>
          <w:highlight w:val="none"/>
          <w:lang w:eastAsia="zh-CN"/>
        </w:rPr>
        <w:t>供应商</w:t>
      </w:r>
      <w:r>
        <w:rPr>
          <w:rFonts w:hint="eastAsia" w:ascii="宋体" w:hAnsi="宋体" w:cs="宋体"/>
          <w:bCs/>
          <w:color w:val="auto"/>
          <w:highlight w:val="none"/>
        </w:rPr>
        <w:t>特定资格条件的其他证明材料加盖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0BC0AE48">
      <w:pPr>
        <w:spacing w:line="380" w:lineRule="exact"/>
        <w:rPr>
          <w:rFonts w:ascii="宋体" w:hAnsi="宋体" w:cs="宋体"/>
          <w:b/>
          <w:color w:val="auto"/>
          <w:highlight w:val="none"/>
        </w:rPr>
      </w:pPr>
    </w:p>
    <w:p w14:paraId="23954394">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-8.</w:t>
      </w:r>
      <w:r>
        <w:rPr>
          <w:rFonts w:hint="eastAsia" w:ascii="宋体" w:hAnsi="宋体" w:cs="宋体"/>
          <w:bCs/>
          <w:color w:val="auto"/>
          <w:highlight w:val="none"/>
          <w:lang w:eastAsia="zh-CN"/>
        </w:rPr>
        <w:t>供应商</w:t>
      </w:r>
      <w:r>
        <w:rPr>
          <w:rFonts w:hint="eastAsia" w:ascii="宋体" w:hAnsi="宋体" w:cs="宋体"/>
          <w:bCs/>
          <w:color w:val="auto"/>
          <w:highlight w:val="none"/>
        </w:rPr>
        <w:t>认为应当要提交的资格证明材料。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w:t>
      </w:r>
    </w:p>
    <w:p w14:paraId="6D9C92AD">
      <w:pPr>
        <w:rPr>
          <w:color w:val="auto"/>
          <w:highlight w:val="none"/>
        </w:rPr>
      </w:pPr>
      <w:r>
        <w:rPr>
          <w:color w:val="auto"/>
          <w:highlight w:val="none"/>
        </w:rPr>
        <w:br w:type="page"/>
      </w:r>
    </w:p>
    <w:p w14:paraId="359E67D4">
      <w:pPr>
        <w:snapToGrid w:val="0"/>
        <w:spacing w:before="50" w:after="156" w:afterLines="50" w:line="400" w:lineRule="exact"/>
        <w:jc w:val="lef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-9.</w:t>
      </w:r>
      <w:r>
        <w:rPr>
          <w:rFonts w:hint="eastAsia" w:ascii="宋体" w:hAnsi="宋体" w:cs="宋体"/>
          <w:b/>
          <w:bCs/>
          <w:color w:val="auto"/>
          <w:highlight w:val="none"/>
          <w:lang w:val="en-US" w:eastAsia="zh-CN"/>
        </w:rPr>
        <w:t>廉洁合规</w:t>
      </w:r>
      <w:r>
        <w:rPr>
          <w:rFonts w:hint="eastAsia" w:ascii="宋体" w:hAnsi="宋体" w:cs="宋体"/>
          <w:b/>
          <w:bCs/>
          <w:color w:val="auto"/>
          <w:highlight w:val="none"/>
        </w:rPr>
        <w:t>承诺书</w:t>
      </w:r>
      <w:r>
        <w:rPr>
          <w:rFonts w:hint="eastAsia" w:ascii="宋体" w:hAnsi="宋体" w:cs="宋体"/>
          <w:b/>
          <w:color w:val="auto"/>
          <w:kern w:val="0"/>
          <w:szCs w:val="22"/>
          <w:highlight w:val="none"/>
        </w:rPr>
        <w:t>（必须提供）</w:t>
      </w:r>
    </w:p>
    <w:p w14:paraId="6E6221D7">
      <w:pPr>
        <w:spacing w:line="480" w:lineRule="auto"/>
        <w:jc w:val="center"/>
        <w:outlineLvl w:val="1"/>
        <w:rPr>
          <w:rFonts w:ascii="宋体" w:hAnsi="宋体" w:cs="宋体"/>
          <w:b/>
          <w:color w:val="auto"/>
          <w:highlight w:val="none"/>
        </w:rPr>
      </w:pPr>
      <w:r>
        <w:rPr>
          <w:rFonts w:hint="eastAsia" w:ascii="宋体" w:hAnsi="宋体" w:cs="宋体"/>
          <w:b/>
          <w:color w:val="auto"/>
          <w:highlight w:val="none"/>
          <w:lang w:val="en-US" w:eastAsia="zh-CN"/>
        </w:rPr>
        <w:t>廉洁合规</w:t>
      </w:r>
      <w:r>
        <w:rPr>
          <w:rFonts w:hint="eastAsia" w:ascii="宋体" w:hAnsi="宋体" w:cs="宋体"/>
          <w:b/>
          <w:color w:val="auto"/>
          <w:highlight w:val="none"/>
        </w:rPr>
        <w:t>承诺书</w:t>
      </w:r>
    </w:p>
    <w:p w14:paraId="3F4B6056">
      <w:pPr>
        <w:spacing w:line="480" w:lineRule="auto"/>
        <w:ind w:right="-153" w:rightChars="-73" w:firstLine="420" w:firstLineChars="200"/>
        <w:rPr>
          <w:color w:val="auto"/>
          <w:highlight w:val="none"/>
        </w:rPr>
      </w:pPr>
    </w:p>
    <w:p w14:paraId="0E2195BF">
      <w:pPr>
        <w:spacing w:line="480" w:lineRule="auto"/>
        <w:ind w:right="-153" w:rightChars="-73" w:firstLine="420" w:firstLineChars="200"/>
        <w:rPr>
          <w:color w:val="auto"/>
          <w:highlight w:val="none"/>
        </w:rPr>
      </w:pPr>
      <w:r>
        <w:rPr>
          <w:color w:val="auto"/>
          <w:highlight w:val="none"/>
        </w:rPr>
        <w:t>为推进桂林银行（以下简称</w:t>
      </w:r>
      <w:r>
        <w:rPr>
          <w:rFonts w:hint="eastAsia"/>
          <w:color w:val="auto"/>
          <w:highlight w:val="none"/>
        </w:rPr>
        <w:t>“</w:t>
      </w:r>
      <w:r>
        <w:rPr>
          <w:color w:val="auto"/>
          <w:highlight w:val="none"/>
        </w:rPr>
        <w:t>甲方</w:t>
      </w:r>
      <w:r>
        <w:rPr>
          <w:rFonts w:hint="eastAsia"/>
          <w:color w:val="auto"/>
          <w:highlight w:val="none"/>
        </w:rPr>
        <w:t>”</w:t>
      </w:r>
      <w:r>
        <w:rPr>
          <w:color w:val="auto"/>
          <w:highlight w:val="none"/>
        </w:rPr>
        <w:t>）项目（以下简称</w:t>
      </w:r>
      <w:r>
        <w:rPr>
          <w:rFonts w:hint="eastAsia"/>
          <w:color w:val="auto"/>
          <w:highlight w:val="none"/>
        </w:rPr>
        <w:t>“</w:t>
      </w:r>
      <w:r>
        <w:rPr>
          <w:color w:val="auto"/>
          <w:highlight w:val="none"/>
        </w:rPr>
        <w:t>项目</w:t>
      </w:r>
      <w:r>
        <w:rPr>
          <w:rFonts w:hint="eastAsia"/>
          <w:color w:val="auto"/>
          <w:highlight w:val="none"/>
        </w:rPr>
        <w:t>”</w:t>
      </w:r>
      <w:r>
        <w:rPr>
          <w:color w:val="auto"/>
          <w:highlight w:val="none"/>
        </w:rPr>
        <w:t>）过程中的规范运作，确保项目公平、公正、公开，防止行贿受贿等违法违纪案件的发生，承诺人特作如下承诺：</w:t>
      </w:r>
    </w:p>
    <w:p w14:paraId="6151B154">
      <w:pPr>
        <w:spacing w:line="480" w:lineRule="auto"/>
        <w:ind w:firstLine="420" w:firstLineChars="200"/>
        <w:rPr>
          <w:color w:val="auto"/>
          <w:highlight w:val="none"/>
        </w:rPr>
      </w:pPr>
      <w:r>
        <w:rPr>
          <w:color w:val="auto"/>
          <w:highlight w:val="none"/>
        </w:rPr>
        <w:t>一、在参与甲方项目全过程中，不以任何理由向甲方人员赠送钱、物、有价证券和免费提供劳务，不为甲方及其亲属支付应由其个人支付的各种费用。</w:t>
      </w:r>
    </w:p>
    <w:p w14:paraId="39799153">
      <w:pPr>
        <w:spacing w:line="480" w:lineRule="auto"/>
        <w:ind w:firstLine="420" w:firstLineChars="200"/>
        <w:rPr>
          <w:color w:val="auto"/>
          <w:highlight w:val="none"/>
        </w:rPr>
      </w:pPr>
      <w:r>
        <w:rPr>
          <w:color w:val="auto"/>
          <w:highlight w:val="none"/>
        </w:rPr>
        <w:t>二、如若获得参与甲方项目资格，不同甲方人员从事本项目相关的物资买卖及中介活动。</w:t>
      </w:r>
    </w:p>
    <w:p w14:paraId="50BF64C8">
      <w:pPr>
        <w:spacing w:line="480" w:lineRule="auto"/>
        <w:ind w:firstLine="420" w:firstLineChars="200"/>
        <w:rPr>
          <w:color w:val="auto"/>
          <w:highlight w:val="none"/>
        </w:rPr>
      </w:pPr>
      <w:r>
        <w:rPr>
          <w:color w:val="auto"/>
          <w:highlight w:val="none"/>
        </w:rPr>
        <w:t>三、不操纵价格，不与其他项目参与人相互串通报价，不采取任何手段排挤其他项目参与人参与公平竞争和损害甲方利益。</w:t>
      </w:r>
    </w:p>
    <w:p w14:paraId="3383148A">
      <w:pPr>
        <w:spacing w:line="480" w:lineRule="auto"/>
        <w:ind w:firstLine="420" w:firstLineChars="200"/>
        <w:rPr>
          <w:color w:val="auto"/>
          <w:highlight w:val="none"/>
        </w:rPr>
      </w:pPr>
      <w:r>
        <w:rPr>
          <w:color w:val="auto"/>
          <w:highlight w:val="none"/>
        </w:rPr>
        <w:t>四、甲方若有员工提出上述违法违纪要求或有其它违纪违法问题，向甲方纪检监察部门举报。</w:t>
      </w:r>
    </w:p>
    <w:p w14:paraId="32261064">
      <w:pPr>
        <w:spacing w:line="480" w:lineRule="auto"/>
        <w:ind w:firstLine="420" w:firstLineChars="200"/>
        <w:rPr>
          <w:color w:val="auto"/>
          <w:highlight w:val="none"/>
        </w:rPr>
      </w:pPr>
      <w:r>
        <w:rPr>
          <w:color w:val="auto"/>
          <w:highlight w:val="none"/>
        </w:rPr>
        <w:t>五、若发现其他</w:t>
      </w:r>
      <w:r>
        <w:rPr>
          <w:rFonts w:hint="eastAsia"/>
          <w:color w:val="auto"/>
          <w:highlight w:val="none"/>
          <w:lang w:eastAsia="zh-CN"/>
        </w:rPr>
        <w:t>供应商</w:t>
      </w:r>
      <w:r>
        <w:rPr>
          <w:color w:val="auto"/>
          <w:highlight w:val="none"/>
        </w:rPr>
        <w:t>有商业贿赂或其他不正当竞争行为，向甲方纪检监察部门举报。</w:t>
      </w:r>
    </w:p>
    <w:p w14:paraId="2141A341">
      <w:pPr>
        <w:spacing w:line="480" w:lineRule="auto"/>
        <w:ind w:firstLine="420" w:firstLineChars="200"/>
        <w:rPr>
          <w:color w:val="auto"/>
          <w:highlight w:val="none"/>
        </w:rPr>
      </w:pPr>
      <w:r>
        <w:rPr>
          <w:color w:val="auto"/>
          <w:highlight w:val="none"/>
        </w:rPr>
        <w:t>六、不私下接触甲方评委，否则报价无效。</w:t>
      </w:r>
    </w:p>
    <w:p w14:paraId="56D68C33">
      <w:pPr>
        <w:spacing w:line="480" w:lineRule="auto"/>
        <w:ind w:left="-178" w:leftChars="-85" w:right="-153" w:rightChars="-73" w:firstLine="630" w:firstLineChars="300"/>
        <w:rPr>
          <w:color w:val="auto"/>
          <w:highlight w:val="none"/>
        </w:rPr>
      </w:pPr>
      <w:r>
        <w:rPr>
          <w:color w:val="auto"/>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75672EAE">
      <w:pPr>
        <w:pStyle w:val="14"/>
        <w:rPr>
          <w:color w:val="auto"/>
          <w:highlight w:val="none"/>
        </w:rPr>
      </w:pPr>
    </w:p>
    <w:p w14:paraId="770548D4">
      <w:pPr>
        <w:spacing w:line="480" w:lineRule="auto"/>
        <w:rPr>
          <w:color w:val="auto"/>
          <w:highlight w:val="none"/>
        </w:rPr>
      </w:pPr>
      <w:r>
        <w:rPr>
          <w:color w:val="auto"/>
          <w:highlight w:val="none"/>
        </w:rPr>
        <w:t xml:space="preserve"> 　　　　　　　　　　　　                          </w:t>
      </w:r>
      <w:r>
        <w:rPr>
          <w:rFonts w:hint="eastAsia"/>
          <w:color w:val="auto"/>
          <w:highlight w:val="none"/>
          <w:lang w:eastAsia="zh-CN"/>
        </w:rPr>
        <w:t>供应商</w:t>
      </w:r>
      <w:r>
        <w:rPr>
          <w:color w:val="auto"/>
          <w:highlight w:val="none"/>
        </w:rPr>
        <w:t>（</w:t>
      </w:r>
      <w:r>
        <w:rPr>
          <w:rFonts w:hint="eastAsia"/>
          <w:color w:val="auto"/>
          <w:highlight w:val="none"/>
        </w:rPr>
        <w:t>公</w:t>
      </w:r>
      <w:r>
        <w:rPr>
          <w:color w:val="auto"/>
          <w:highlight w:val="none"/>
        </w:rPr>
        <w:t>章）：</w:t>
      </w:r>
    </w:p>
    <w:p w14:paraId="6D4ECC68">
      <w:pPr>
        <w:rPr>
          <w:color w:val="auto"/>
          <w:highlight w:val="none"/>
        </w:rPr>
      </w:pPr>
      <w:r>
        <w:rPr>
          <w:color w:val="auto"/>
          <w:highlight w:val="none"/>
        </w:rPr>
        <w:t>　　　　　　　　　　　　　　　　　　　　            年　　月　　日</w:t>
      </w:r>
    </w:p>
    <w:p w14:paraId="7D050B18">
      <w:pPr>
        <w:pStyle w:val="20"/>
        <w:rPr>
          <w:color w:val="auto"/>
          <w:highlight w:val="none"/>
        </w:rPr>
      </w:pPr>
    </w:p>
    <w:p w14:paraId="5219ADF3">
      <w:pPr>
        <w:rPr>
          <w:color w:val="auto"/>
          <w:highlight w:val="none"/>
        </w:rPr>
      </w:pPr>
    </w:p>
    <w:p w14:paraId="0F0A1C57">
      <w:pPr>
        <w:pStyle w:val="14"/>
        <w:rPr>
          <w:color w:val="auto"/>
          <w:highlight w:val="none"/>
        </w:rPr>
      </w:pPr>
    </w:p>
    <w:p w14:paraId="610EE44B">
      <w:pPr>
        <w:spacing w:line="400" w:lineRule="exact"/>
        <w:ind w:left="0" w:leftChars="0" w:right="0" w:rightChars="0" w:firstLine="630" w:firstLineChars="3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监督举报电话：</w:t>
      </w:r>
      <w:r>
        <w:rPr>
          <w:rFonts w:hint="eastAsia" w:ascii="宋体" w:hAnsi="宋体" w:eastAsia="宋体" w:cs="宋体"/>
          <w:color w:val="auto"/>
          <w:highlight w:val="none"/>
          <w:lang w:val="en-US" w:eastAsia="zh-CN"/>
        </w:rPr>
        <w:t>桂林银行派驻纪检监察组办公室0773-3686283</w:t>
      </w:r>
    </w:p>
    <w:p w14:paraId="1028E902">
      <w:pPr>
        <w:spacing w:line="400" w:lineRule="exact"/>
        <w:ind w:left="0" w:leftChars="0" w:right="0" w:rightChars="0" w:firstLine="2100" w:firstLineChars="10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t>桂林银行党委纪检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0773-3687234</w:t>
      </w:r>
    </w:p>
    <w:p w14:paraId="37A6D7BE">
      <w:pPr>
        <w:rPr>
          <w:rFonts w:hint="default" w:eastAsia="宋体"/>
          <w:color w:val="auto"/>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color w:val="auto"/>
          <w:highlight w:val="none"/>
          <w:lang w:val="en-US" w:eastAsia="zh-CN"/>
        </w:rPr>
        <w:t xml:space="preserve">                    桂林银行集中采购办公室 0773-5592002</w:t>
      </w:r>
      <w:r>
        <w:rPr>
          <w:rFonts w:hint="eastAsia"/>
          <w:color w:val="auto"/>
          <w:highlight w:val="none"/>
          <w:lang w:val="en-US" w:eastAsia="zh-CN"/>
        </w:rPr>
        <w:t xml:space="preserve">     </w:t>
      </w:r>
    </w:p>
    <w:p w14:paraId="528486A9">
      <w:pPr>
        <w:spacing w:line="480" w:lineRule="auto"/>
        <w:outlineLvl w:val="1"/>
        <w:rPr>
          <w:rFonts w:ascii="宋体" w:hAnsi="宋体" w:cs="宋体"/>
          <w:b/>
          <w:color w:val="auto"/>
          <w:sz w:val="28"/>
          <w:szCs w:val="28"/>
          <w:highlight w:val="none"/>
        </w:rPr>
      </w:pPr>
      <w:r>
        <w:rPr>
          <w:rFonts w:hint="eastAsia" w:ascii="宋体" w:hAnsi="宋体" w:cs="宋体"/>
          <w:b/>
          <w:color w:val="auto"/>
          <w:kern w:val="0"/>
          <w:highlight w:val="none"/>
          <w:lang w:val="en-US" w:eastAsia="zh-CN"/>
        </w:rPr>
        <w:t>7</w:t>
      </w:r>
      <w:r>
        <w:rPr>
          <w:rFonts w:hint="eastAsia" w:ascii="宋体" w:hAnsi="宋体" w:cs="宋体"/>
          <w:b/>
          <w:color w:val="auto"/>
          <w:kern w:val="0"/>
          <w:highlight w:val="none"/>
        </w:rPr>
        <w:t>-10.</w:t>
      </w:r>
      <w:r>
        <w:rPr>
          <w:rFonts w:hint="eastAsia" w:ascii="宋体" w:hAnsi="宋体" w:cs="宋体"/>
          <w:b/>
          <w:color w:val="auto"/>
          <w:highlight w:val="none"/>
        </w:rPr>
        <w:t>无重大违法记录声明</w:t>
      </w:r>
      <w:r>
        <w:rPr>
          <w:rFonts w:hint="eastAsia" w:ascii="宋体" w:hAnsi="宋体" w:cs="宋体"/>
          <w:b/>
          <w:color w:val="auto"/>
          <w:kern w:val="0"/>
          <w:szCs w:val="22"/>
          <w:highlight w:val="none"/>
        </w:rPr>
        <w:t>（必须提供）</w:t>
      </w:r>
    </w:p>
    <w:p w14:paraId="66060CCF">
      <w:pPr>
        <w:spacing w:line="480" w:lineRule="auto"/>
        <w:jc w:val="center"/>
        <w:rPr>
          <w:color w:val="auto"/>
          <w:sz w:val="28"/>
          <w:szCs w:val="28"/>
          <w:highlight w:val="none"/>
        </w:rPr>
      </w:pPr>
    </w:p>
    <w:p w14:paraId="03188618">
      <w:pPr>
        <w:pStyle w:val="26"/>
        <w:spacing w:line="400" w:lineRule="exac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lang w:eastAsia="zh-CN"/>
        </w:rPr>
        <w:t>供应商</w:t>
      </w:r>
      <w:r>
        <w:rPr>
          <w:rFonts w:ascii="Times New Roman" w:hAnsi="Times New Roman" w:cs="Times New Roman"/>
          <w:b/>
          <w:color w:val="auto"/>
          <w:sz w:val="28"/>
          <w:szCs w:val="28"/>
          <w:highlight w:val="none"/>
        </w:rPr>
        <w:t>参加本项目采购活动前3年内在经营活动中没有重大违法记录的书面声明（必须提供）</w:t>
      </w:r>
    </w:p>
    <w:p w14:paraId="75CD44B5">
      <w:pPr>
        <w:pStyle w:val="26"/>
        <w:spacing w:line="400" w:lineRule="exact"/>
        <w:ind w:left="420" w:leftChars="200" w:firstLine="157" w:firstLineChars="49"/>
        <w:rPr>
          <w:rFonts w:ascii="Times New Roman" w:hAnsi="Times New Roman" w:cs="Times New Roman"/>
          <w:b/>
          <w:color w:val="auto"/>
          <w:sz w:val="32"/>
          <w:szCs w:val="32"/>
          <w:highlight w:val="none"/>
        </w:rPr>
      </w:pPr>
    </w:p>
    <w:p w14:paraId="080525BC">
      <w:pPr>
        <w:pStyle w:val="26"/>
        <w:spacing w:line="400" w:lineRule="exact"/>
        <w:jc w:val="center"/>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声   明</w:t>
      </w:r>
    </w:p>
    <w:p w14:paraId="2B659981">
      <w:pPr>
        <w:snapToGrid w:val="0"/>
        <w:spacing w:line="400" w:lineRule="exact"/>
        <w:outlineLvl w:val="4"/>
        <w:rPr>
          <w:color w:val="auto"/>
          <w:highlight w:val="none"/>
        </w:rPr>
      </w:pPr>
      <w:r>
        <w:rPr>
          <w:b/>
          <w:color w:val="auto"/>
          <w:highlight w:val="none"/>
        </w:rPr>
        <w:t>致</w:t>
      </w:r>
      <w:r>
        <w:rPr>
          <w:color w:val="auto"/>
          <w:highlight w:val="none"/>
        </w:rPr>
        <w:t>：</w:t>
      </w:r>
      <w:r>
        <w:rPr>
          <w:b/>
          <w:color w:val="auto"/>
          <w:highlight w:val="none"/>
        </w:rPr>
        <w:t>桂林银行股份有限公司</w:t>
      </w:r>
    </w:p>
    <w:p w14:paraId="75E8B4C0">
      <w:pPr>
        <w:snapToGrid w:val="0"/>
        <w:spacing w:line="400" w:lineRule="exact"/>
        <w:outlineLvl w:val="4"/>
        <w:rPr>
          <w:color w:val="auto"/>
          <w:highlight w:val="none"/>
          <w:u w:val="single"/>
        </w:rPr>
      </w:pPr>
    </w:p>
    <w:p w14:paraId="658FA2BA">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本公司（单位</w:t>
      </w:r>
      <w:r>
        <w:rPr>
          <w:rFonts w:ascii="Times New Roman" w:hAnsi="Times New Roman" w:eastAsia="宋体" w:cs="Times New Roman"/>
          <w:color w:val="auto"/>
          <w:highlight w:val="none"/>
        </w:rPr>
        <w:t>）郑重声明，在参加本项目采购活动前3年内在经营活动中没有重大违法记录（重大违法记录是指</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因违法经营受到刑事处罚或者责令停产停业、吊销许可证或者执照、较大数额罚款等行政处罚）。</w:t>
      </w:r>
    </w:p>
    <w:p w14:paraId="18991CD9">
      <w:pPr>
        <w:snapToGrid w:val="0"/>
        <w:spacing w:line="400" w:lineRule="exact"/>
        <w:ind w:firstLine="420"/>
        <w:outlineLvl w:val="4"/>
        <w:rPr>
          <w:color w:val="auto"/>
          <w:highlight w:val="none"/>
        </w:rPr>
      </w:pPr>
    </w:p>
    <w:p w14:paraId="68880A1F">
      <w:pPr>
        <w:snapToGrid w:val="0"/>
        <w:spacing w:line="400" w:lineRule="exact"/>
        <w:ind w:firstLine="420"/>
        <w:outlineLvl w:val="4"/>
        <w:rPr>
          <w:color w:val="auto"/>
          <w:highlight w:val="none"/>
        </w:rPr>
      </w:pPr>
    </w:p>
    <w:p w14:paraId="0BA424F8">
      <w:pPr>
        <w:snapToGrid w:val="0"/>
        <w:spacing w:line="400" w:lineRule="exact"/>
        <w:ind w:firstLine="4935" w:firstLineChars="2350"/>
        <w:outlineLvl w:val="4"/>
        <w:rPr>
          <w:color w:val="auto"/>
          <w:highlight w:val="none"/>
          <w:u w:val="single"/>
        </w:rPr>
      </w:pPr>
      <w:r>
        <w:rPr>
          <w:rFonts w:hint="eastAsia"/>
          <w:color w:val="auto"/>
          <w:highlight w:val="none"/>
          <w:lang w:eastAsia="zh-CN"/>
        </w:rPr>
        <w:t>供应商</w:t>
      </w:r>
      <w:r>
        <w:rPr>
          <w:color w:val="auto"/>
          <w:highlight w:val="none"/>
        </w:rPr>
        <w:t>（公章）：</w:t>
      </w:r>
    </w:p>
    <w:p w14:paraId="5F3151E7">
      <w:pPr>
        <w:snapToGrid w:val="0"/>
        <w:spacing w:line="400" w:lineRule="exact"/>
        <w:ind w:firstLine="420"/>
        <w:outlineLvl w:val="4"/>
        <w:rPr>
          <w:color w:val="auto"/>
          <w:highlight w:val="none"/>
        </w:rPr>
      </w:pPr>
    </w:p>
    <w:p w14:paraId="1A8E906F">
      <w:pPr>
        <w:spacing w:line="340" w:lineRule="exact"/>
        <w:ind w:left="4935" w:leftChars="2350"/>
        <w:rPr>
          <w:color w:val="auto"/>
          <w:highlight w:val="none"/>
          <w:u w:val="single"/>
        </w:rPr>
      </w:pPr>
      <w:r>
        <w:rPr>
          <w:color w:val="auto"/>
          <w:highlight w:val="none"/>
        </w:rPr>
        <w:t>法定代表人</w:t>
      </w:r>
      <w:r>
        <w:rPr>
          <w:rFonts w:hint="eastAsia"/>
          <w:color w:val="auto"/>
          <w:highlight w:val="none"/>
        </w:rPr>
        <w:t>（</w:t>
      </w:r>
      <w:r>
        <w:rPr>
          <w:color w:val="auto"/>
          <w:highlight w:val="none"/>
        </w:rPr>
        <w:t>签字或盖章</w:t>
      </w:r>
      <w:r>
        <w:rPr>
          <w:rFonts w:hint="eastAsia"/>
          <w:color w:val="auto"/>
          <w:highlight w:val="none"/>
        </w:rPr>
        <w:t>）</w:t>
      </w:r>
      <w:r>
        <w:rPr>
          <w:color w:val="auto"/>
          <w:highlight w:val="none"/>
        </w:rPr>
        <w:t>：</w:t>
      </w:r>
    </w:p>
    <w:p w14:paraId="66DD5262">
      <w:pPr>
        <w:spacing w:line="340" w:lineRule="exact"/>
        <w:ind w:firstLine="420" w:firstLineChars="200"/>
        <w:rPr>
          <w:color w:val="auto"/>
          <w:highlight w:val="none"/>
        </w:rPr>
      </w:pPr>
    </w:p>
    <w:p w14:paraId="1409294D">
      <w:pPr>
        <w:pStyle w:val="26"/>
        <w:ind w:firstLine="5040" w:firstLineChars="2400"/>
        <w:rPr>
          <w:rFonts w:ascii="Times New Roman" w:hAnsi="Times New Roman" w:cs="Times New Roman"/>
          <w:b/>
          <w:color w:val="auto"/>
          <w:sz w:val="32"/>
          <w:highlight w:val="none"/>
        </w:rPr>
      </w:pPr>
      <w:r>
        <w:rPr>
          <w:rFonts w:ascii="Times New Roman" w:hAnsi="Times New Roman" w:eastAsia="宋体" w:cs="Times New Roman"/>
          <w:color w:val="auto"/>
          <w:highlight w:val="none"/>
        </w:rPr>
        <w:t>日期：</w:t>
      </w:r>
    </w:p>
    <w:p w14:paraId="68F3D1DA">
      <w:pPr>
        <w:widowControl/>
        <w:adjustRightInd w:val="0"/>
        <w:snapToGrid w:val="0"/>
        <w:spacing w:line="360" w:lineRule="auto"/>
        <w:rPr>
          <w:color w:val="auto"/>
          <w:highlight w:val="none"/>
        </w:rPr>
      </w:pPr>
    </w:p>
    <w:p w14:paraId="4406FABB">
      <w:pPr>
        <w:pStyle w:val="20"/>
        <w:rPr>
          <w:color w:val="auto"/>
          <w:highlight w:val="none"/>
        </w:rPr>
      </w:pPr>
    </w:p>
    <w:p w14:paraId="01A1C3D1">
      <w:pPr>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A36B8D9">
      <w:pPr>
        <w:rPr>
          <w:rFonts w:ascii="宋体" w:hAnsi="宋体" w:cs="宋体"/>
          <w:b/>
          <w:bCs/>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技术部分</w:t>
      </w:r>
    </w:p>
    <w:p w14:paraId="3C1C08D6">
      <w:pPr>
        <w:rPr>
          <w:rFonts w:ascii="宋体" w:hAnsi="宋体" w:cs="宋体"/>
          <w:b/>
          <w:bCs/>
          <w:color w:val="auto"/>
          <w:highlight w:val="none"/>
        </w:rPr>
      </w:pPr>
    </w:p>
    <w:p w14:paraId="11EE46F4">
      <w:pPr>
        <w:rPr>
          <w:rFonts w:ascii="宋体" w:hAnsi="宋体" w:cs="宋体"/>
          <w:b/>
          <w:bCs/>
          <w:color w:val="auto"/>
          <w:kern w:val="0"/>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-1.</w:t>
      </w:r>
      <w:r>
        <w:rPr>
          <w:rFonts w:hint="eastAsia" w:ascii="宋体" w:hAnsi="宋体" w:cs="宋体"/>
          <w:b/>
          <w:bCs/>
          <w:color w:val="auto"/>
          <w:kern w:val="0"/>
          <w:highlight w:val="none"/>
        </w:rPr>
        <w:t>偏离表（必须提供）</w:t>
      </w:r>
    </w:p>
    <w:p w14:paraId="589CFCB5">
      <w:pPr>
        <w:rPr>
          <w:rFonts w:ascii="宋体" w:hAnsi="宋体" w:cs="宋体"/>
          <w:color w:val="auto"/>
          <w:highlight w:val="none"/>
        </w:rPr>
      </w:pPr>
      <w:r>
        <w:rPr>
          <w:rFonts w:hint="eastAsia" w:ascii="宋体" w:hAnsi="宋体" w:cs="宋体"/>
          <w:color w:val="auto"/>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13F8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450E5FDF">
            <w:pPr>
              <w:spacing w:line="400" w:lineRule="exact"/>
              <w:jc w:val="center"/>
              <w:rPr>
                <w:rFonts w:ascii="宋体" w:hAnsi="宋体" w:cs="宋体"/>
                <w:color w:val="auto"/>
                <w:highlight w:val="none"/>
              </w:rPr>
            </w:pPr>
            <w:r>
              <w:rPr>
                <w:rFonts w:hint="eastAsia" w:ascii="宋体" w:hAnsi="宋体" w:cs="宋体"/>
                <w:color w:val="auto"/>
                <w:highlight w:val="none"/>
              </w:rPr>
              <w:t>序号</w:t>
            </w:r>
          </w:p>
        </w:tc>
        <w:tc>
          <w:tcPr>
            <w:tcW w:w="3395" w:type="dxa"/>
            <w:vAlign w:val="center"/>
          </w:tcPr>
          <w:p w14:paraId="470CC212">
            <w:pPr>
              <w:spacing w:line="400" w:lineRule="exact"/>
              <w:jc w:val="center"/>
              <w:rPr>
                <w:rFonts w:ascii="宋体" w:hAnsi="宋体" w:cs="宋体"/>
                <w:color w:val="auto"/>
                <w:highlight w:val="none"/>
              </w:rPr>
            </w:pPr>
            <w:r>
              <w:rPr>
                <w:rFonts w:hint="eastAsia" w:ascii="宋体" w:hAnsi="宋体" w:cs="宋体"/>
                <w:color w:val="auto"/>
                <w:highlight w:val="none"/>
              </w:rPr>
              <w:t>磋商文件需求</w:t>
            </w:r>
          </w:p>
        </w:tc>
        <w:tc>
          <w:tcPr>
            <w:tcW w:w="3735" w:type="dxa"/>
            <w:vAlign w:val="center"/>
          </w:tcPr>
          <w:p w14:paraId="34C82C9F">
            <w:pPr>
              <w:snapToGrid w:val="0"/>
              <w:jc w:val="center"/>
              <w:rPr>
                <w:rFonts w:ascii="宋体" w:hAnsi="宋体" w:cs="宋体"/>
                <w:color w:val="auto"/>
                <w:highlight w:val="none"/>
              </w:rPr>
            </w:pPr>
            <w:r>
              <w:rPr>
                <w:rFonts w:hint="eastAsia" w:ascii="宋体" w:hAnsi="宋体" w:cs="宋体"/>
                <w:color w:val="auto"/>
                <w:highlight w:val="none"/>
              </w:rPr>
              <w:t>响应文件响应内容</w:t>
            </w:r>
          </w:p>
          <w:p w14:paraId="62184066">
            <w:pPr>
              <w:spacing w:line="400" w:lineRule="exact"/>
              <w:jc w:val="center"/>
              <w:rPr>
                <w:rFonts w:ascii="宋体" w:hAnsi="宋体" w:cs="宋体"/>
                <w:color w:val="auto"/>
                <w:highlight w:val="none"/>
              </w:rPr>
            </w:pPr>
            <w:r>
              <w:rPr>
                <w:rFonts w:hint="eastAsia" w:ascii="宋体" w:hAnsi="宋体" w:cs="宋体"/>
                <w:color w:val="auto"/>
                <w:highlight w:val="none"/>
              </w:rPr>
              <w:t>（可注明证明材料所在页码）</w:t>
            </w:r>
          </w:p>
        </w:tc>
        <w:tc>
          <w:tcPr>
            <w:tcW w:w="1170" w:type="dxa"/>
            <w:vAlign w:val="center"/>
          </w:tcPr>
          <w:p w14:paraId="49056C72">
            <w:pPr>
              <w:spacing w:line="400" w:lineRule="exact"/>
              <w:jc w:val="center"/>
              <w:rPr>
                <w:rFonts w:ascii="宋体" w:hAnsi="宋体" w:cs="宋体"/>
                <w:color w:val="auto"/>
                <w:highlight w:val="none"/>
              </w:rPr>
            </w:pPr>
            <w:r>
              <w:rPr>
                <w:rFonts w:hint="eastAsia" w:ascii="宋体" w:hAnsi="宋体" w:cs="宋体"/>
                <w:color w:val="auto"/>
                <w:highlight w:val="none"/>
              </w:rPr>
              <w:t>偏离说明</w:t>
            </w:r>
          </w:p>
        </w:tc>
      </w:tr>
      <w:tr w14:paraId="4DDF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346DD7F">
            <w:pPr>
              <w:spacing w:line="600" w:lineRule="exact"/>
              <w:jc w:val="center"/>
              <w:rPr>
                <w:rFonts w:ascii="宋体" w:hAnsi="宋体" w:cs="宋体"/>
                <w:color w:val="auto"/>
                <w:highlight w:val="none"/>
              </w:rPr>
            </w:pPr>
          </w:p>
        </w:tc>
        <w:tc>
          <w:tcPr>
            <w:tcW w:w="3395" w:type="dxa"/>
            <w:vAlign w:val="center"/>
          </w:tcPr>
          <w:p w14:paraId="32E4093B">
            <w:pPr>
              <w:spacing w:line="600" w:lineRule="exact"/>
              <w:jc w:val="center"/>
              <w:rPr>
                <w:rFonts w:ascii="宋体" w:hAnsi="宋体" w:cs="宋体"/>
                <w:color w:val="auto"/>
                <w:highlight w:val="none"/>
              </w:rPr>
            </w:pPr>
          </w:p>
        </w:tc>
        <w:tc>
          <w:tcPr>
            <w:tcW w:w="3735" w:type="dxa"/>
            <w:vAlign w:val="center"/>
          </w:tcPr>
          <w:p w14:paraId="51C8D9AD">
            <w:pPr>
              <w:spacing w:line="600" w:lineRule="exact"/>
              <w:jc w:val="center"/>
              <w:rPr>
                <w:rFonts w:ascii="宋体" w:hAnsi="宋体" w:cs="宋体"/>
                <w:color w:val="auto"/>
                <w:highlight w:val="none"/>
              </w:rPr>
            </w:pPr>
          </w:p>
        </w:tc>
        <w:tc>
          <w:tcPr>
            <w:tcW w:w="1170" w:type="dxa"/>
            <w:vAlign w:val="center"/>
          </w:tcPr>
          <w:p w14:paraId="091D8FB8">
            <w:pPr>
              <w:spacing w:line="600" w:lineRule="exact"/>
              <w:jc w:val="center"/>
              <w:rPr>
                <w:rFonts w:ascii="宋体" w:hAnsi="宋体" w:cs="宋体"/>
                <w:color w:val="auto"/>
                <w:highlight w:val="none"/>
              </w:rPr>
            </w:pPr>
          </w:p>
        </w:tc>
      </w:tr>
      <w:tr w14:paraId="4680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03B32A6F">
            <w:pPr>
              <w:spacing w:line="600" w:lineRule="exact"/>
              <w:rPr>
                <w:rFonts w:ascii="宋体" w:hAnsi="宋体" w:cs="宋体"/>
                <w:color w:val="auto"/>
                <w:highlight w:val="none"/>
              </w:rPr>
            </w:pPr>
          </w:p>
        </w:tc>
        <w:tc>
          <w:tcPr>
            <w:tcW w:w="3395" w:type="dxa"/>
            <w:vAlign w:val="center"/>
          </w:tcPr>
          <w:p w14:paraId="39C10139">
            <w:pPr>
              <w:spacing w:line="600" w:lineRule="exact"/>
              <w:rPr>
                <w:rFonts w:ascii="宋体" w:hAnsi="宋体" w:cs="宋体"/>
                <w:color w:val="auto"/>
                <w:highlight w:val="none"/>
              </w:rPr>
            </w:pPr>
          </w:p>
        </w:tc>
        <w:tc>
          <w:tcPr>
            <w:tcW w:w="3735" w:type="dxa"/>
            <w:vAlign w:val="center"/>
          </w:tcPr>
          <w:p w14:paraId="08CAF317">
            <w:pPr>
              <w:spacing w:line="600" w:lineRule="exact"/>
              <w:rPr>
                <w:rFonts w:ascii="宋体" w:hAnsi="宋体" w:cs="宋体"/>
                <w:color w:val="auto"/>
                <w:highlight w:val="none"/>
              </w:rPr>
            </w:pPr>
          </w:p>
        </w:tc>
        <w:tc>
          <w:tcPr>
            <w:tcW w:w="1170" w:type="dxa"/>
            <w:vAlign w:val="center"/>
          </w:tcPr>
          <w:p w14:paraId="09781538">
            <w:pPr>
              <w:spacing w:line="600" w:lineRule="exact"/>
              <w:rPr>
                <w:rFonts w:ascii="宋体" w:hAnsi="宋体" w:cs="宋体"/>
                <w:color w:val="auto"/>
                <w:highlight w:val="none"/>
              </w:rPr>
            </w:pPr>
          </w:p>
        </w:tc>
      </w:tr>
      <w:tr w14:paraId="3674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50F14EAC">
            <w:pPr>
              <w:spacing w:line="600" w:lineRule="exact"/>
              <w:rPr>
                <w:rFonts w:ascii="宋体" w:hAnsi="宋体" w:cs="宋体"/>
                <w:color w:val="auto"/>
                <w:highlight w:val="none"/>
              </w:rPr>
            </w:pPr>
          </w:p>
        </w:tc>
        <w:tc>
          <w:tcPr>
            <w:tcW w:w="3395" w:type="dxa"/>
            <w:vAlign w:val="center"/>
          </w:tcPr>
          <w:p w14:paraId="6A32B5AC">
            <w:pPr>
              <w:spacing w:line="600" w:lineRule="exact"/>
              <w:rPr>
                <w:rFonts w:ascii="宋体" w:hAnsi="宋体" w:cs="宋体"/>
                <w:color w:val="auto"/>
                <w:highlight w:val="none"/>
              </w:rPr>
            </w:pPr>
          </w:p>
        </w:tc>
        <w:tc>
          <w:tcPr>
            <w:tcW w:w="3735" w:type="dxa"/>
            <w:vAlign w:val="center"/>
          </w:tcPr>
          <w:p w14:paraId="6970324B">
            <w:pPr>
              <w:spacing w:line="600" w:lineRule="exact"/>
              <w:rPr>
                <w:rFonts w:ascii="宋体" w:hAnsi="宋体" w:cs="宋体"/>
                <w:color w:val="auto"/>
                <w:highlight w:val="none"/>
              </w:rPr>
            </w:pPr>
          </w:p>
        </w:tc>
        <w:tc>
          <w:tcPr>
            <w:tcW w:w="1170" w:type="dxa"/>
            <w:vAlign w:val="center"/>
          </w:tcPr>
          <w:p w14:paraId="6AA2EE4E">
            <w:pPr>
              <w:spacing w:line="600" w:lineRule="exact"/>
              <w:rPr>
                <w:rFonts w:ascii="宋体" w:hAnsi="宋体" w:cs="宋体"/>
                <w:color w:val="auto"/>
                <w:highlight w:val="none"/>
              </w:rPr>
            </w:pPr>
          </w:p>
        </w:tc>
      </w:tr>
    </w:tbl>
    <w:p w14:paraId="0D6A98AA">
      <w:pPr>
        <w:ind w:firstLine="420"/>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供应商</w:t>
      </w:r>
      <w:r>
        <w:rPr>
          <w:rFonts w:hint="eastAsia" w:ascii="宋体" w:hAnsi="宋体" w:cs="宋体"/>
          <w:color w:val="auto"/>
          <w:highlight w:val="none"/>
        </w:rPr>
        <w:t>应根据项目项目需求对照磋商文件要求逐条在“偏差说明”栏注明“正偏离”、“负偏离”或“无偏离” 。</w:t>
      </w:r>
    </w:p>
    <w:p w14:paraId="1CA86ABA">
      <w:pPr>
        <w:rPr>
          <w:rFonts w:ascii="宋体" w:hAnsi="宋体" w:cs="宋体"/>
          <w:color w:val="auto"/>
          <w:highlight w:val="none"/>
          <w:u w:val="single"/>
        </w:rPr>
      </w:pPr>
    </w:p>
    <w:p w14:paraId="140FFCB4">
      <w:pPr>
        <w:rPr>
          <w:rFonts w:ascii="宋体" w:hAnsi="宋体" w:cs="宋体"/>
          <w:bCs/>
          <w:color w:val="auto"/>
          <w:szCs w:val="22"/>
          <w:highlight w:val="none"/>
        </w:rPr>
      </w:pPr>
      <w:r>
        <w:rPr>
          <w:rFonts w:hint="eastAsia" w:ascii="宋体" w:hAnsi="宋体" w:cs="宋体"/>
          <w:color w:val="auto"/>
          <w:highlight w:val="none"/>
          <w:lang w:eastAsia="zh-CN"/>
        </w:rPr>
        <w:t>供应商</w:t>
      </w:r>
      <w:r>
        <w:rPr>
          <w:rFonts w:hint="eastAsia" w:ascii="宋体" w:hAnsi="宋体" w:cs="宋体"/>
          <w:color w:val="auto"/>
          <w:highlight w:val="none"/>
        </w:rPr>
        <w:t>（公章）：</w:t>
      </w:r>
    </w:p>
    <w:p w14:paraId="0BE7C510">
      <w:pPr>
        <w:rPr>
          <w:rFonts w:ascii="宋体" w:hAnsi="宋体" w:cs="宋体"/>
          <w:color w:val="auto"/>
          <w:highlight w:val="none"/>
        </w:rPr>
      </w:pPr>
      <w:r>
        <w:rPr>
          <w:rFonts w:hint="eastAsia" w:ascii="宋体" w:hAnsi="宋体" w:cs="宋体"/>
          <w:color w:val="auto"/>
          <w:highlight w:val="none"/>
        </w:rPr>
        <w:t>法定代表人或委托代理人（签字或签章）：</w:t>
      </w:r>
    </w:p>
    <w:p w14:paraId="535F1272">
      <w:pPr>
        <w:rPr>
          <w:rFonts w:ascii="宋体" w:hAnsi="宋体" w:cs="宋体"/>
          <w:bCs/>
          <w:color w:val="auto"/>
          <w:szCs w:val="22"/>
          <w:highlight w:val="none"/>
        </w:rPr>
      </w:pPr>
      <w:r>
        <w:rPr>
          <w:rFonts w:hint="eastAsia" w:ascii="宋体" w:hAnsi="宋体" w:cs="宋体"/>
          <w:bCs/>
          <w:color w:val="auto"/>
          <w:szCs w:val="22"/>
          <w:highlight w:val="none"/>
        </w:rPr>
        <w:t>日期：</w:t>
      </w:r>
    </w:p>
    <w:p w14:paraId="2DC7A431">
      <w:pPr>
        <w:pStyle w:val="14"/>
        <w:spacing w:line="400" w:lineRule="exact"/>
        <w:rPr>
          <w:rFonts w:ascii="宋体" w:hAnsi="宋体" w:cs="宋体"/>
          <w:color w:val="auto"/>
          <w:highlight w:val="none"/>
        </w:rPr>
      </w:pPr>
    </w:p>
    <w:p w14:paraId="46600A38">
      <w:pPr>
        <w:pStyle w:val="14"/>
        <w:spacing w:line="400" w:lineRule="exact"/>
        <w:ind w:firstLine="0"/>
        <w:rPr>
          <w:rFonts w:ascii="宋体" w:hAnsi="宋体" w:cs="宋体"/>
          <w:color w:val="auto"/>
          <w:highlight w:val="none"/>
        </w:rPr>
      </w:pPr>
    </w:p>
    <w:p w14:paraId="25F14BD7">
      <w:pPr>
        <w:spacing w:line="400" w:lineRule="exact"/>
        <w:rPr>
          <w:rFonts w:hint="eastAsia" w:ascii="宋体" w:hAnsi="宋体" w:cs="宋体"/>
          <w:b/>
          <w:bCs/>
          <w:color w:val="auto"/>
          <w:kern w:val="0"/>
          <w:highlight w:val="none"/>
        </w:rPr>
      </w:pPr>
      <w:bookmarkStart w:id="326" w:name="_Toc186101193"/>
      <w:bookmarkStart w:id="327" w:name="_Toc187060993"/>
      <w:bookmarkStart w:id="328" w:name="_Toc380762236"/>
      <w:bookmarkStart w:id="329" w:name="_Toc182274059"/>
      <w:bookmarkStart w:id="330" w:name="_Toc187243764"/>
      <w:bookmarkStart w:id="331" w:name="_Toc47282060"/>
      <w:bookmarkStart w:id="332" w:name="_Toc186915361"/>
      <w:bookmarkStart w:id="333" w:name="_Toc182273927"/>
      <w:bookmarkStart w:id="334" w:name="_Toc181958779"/>
      <w:bookmarkStart w:id="335" w:name="_Toc186917125"/>
      <w:bookmarkStart w:id="336" w:name="_Toc183712412"/>
      <w:bookmarkStart w:id="337" w:name="_Toc187120983"/>
      <w:bookmarkStart w:id="338" w:name="_Toc135752563"/>
      <w:bookmarkStart w:id="339" w:name="_Toc33438637"/>
      <w:bookmarkStart w:id="340" w:name="_Toc186382416"/>
      <w:bookmarkStart w:id="341" w:name="_Toc181778303"/>
      <w:bookmarkStart w:id="342" w:name="_Toc186917287"/>
      <w:bookmarkStart w:id="343" w:name="_Toc476524899"/>
      <w:bookmarkStart w:id="344" w:name="_Toc380054678"/>
      <w:r>
        <w:rPr>
          <w:rFonts w:hint="eastAsia" w:ascii="宋体" w:hAnsi="宋体" w:cs="宋体"/>
          <w:b/>
          <w:bCs/>
          <w:color w:val="auto"/>
          <w:kern w:val="0"/>
          <w:highlight w:val="none"/>
          <w:lang w:val="en-US" w:eastAsia="zh-CN"/>
        </w:rPr>
        <w:t>8</w:t>
      </w:r>
      <w:r>
        <w:rPr>
          <w:rFonts w:hint="eastAsia" w:ascii="宋体" w:hAnsi="宋体" w:cs="宋体"/>
          <w:b/>
          <w:bCs/>
          <w:color w:val="auto"/>
          <w:kern w:val="0"/>
          <w:highlight w:val="none"/>
        </w:rPr>
        <w:t>-2</w:t>
      </w:r>
      <w:r>
        <w:rPr>
          <w:rFonts w:hint="eastAsia" w:hAnsi="宋体"/>
          <w:b/>
          <w:bCs/>
          <w:color w:val="auto"/>
          <w:highlight w:val="none"/>
        </w:rPr>
        <w:t>.</w:t>
      </w:r>
      <w:r>
        <w:rPr>
          <w:rFonts w:hint="eastAsia" w:ascii="宋体" w:hAnsi="宋体" w:cs="宋体"/>
          <w:b w:val="0"/>
          <w:bCs w:val="0"/>
          <w:color w:val="auto"/>
          <w:kern w:val="0"/>
          <w:highlight w:val="none"/>
          <w:lang w:val="en-US" w:eastAsia="zh-CN"/>
        </w:rPr>
        <w:t>技术方案及实施方案</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777C5638">
      <w:pPr>
        <w:spacing w:line="400" w:lineRule="exact"/>
        <w:rPr>
          <w:rFonts w:hint="eastAsia" w:ascii="宋体" w:hAnsi="宋体" w:cs="宋体"/>
          <w:b/>
          <w:bCs/>
          <w:color w:val="auto"/>
          <w:kern w:val="0"/>
          <w:highlight w:val="none"/>
        </w:rPr>
      </w:pPr>
    </w:p>
    <w:p w14:paraId="1B404BFD">
      <w:pPr>
        <w:spacing w:line="400" w:lineRule="exact"/>
        <w:rPr>
          <w:rFonts w:hint="default" w:ascii="宋体" w:hAnsi="宋体" w:cs="宋体"/>
          <w:b/>
          <w:bCs/>
          <w:color w:val="auto"/>
          <w:kern w:val="0"/>
          <w:highlight w:val="none"/>
          <w:lang w:val="en-US" w:eastAsia="zh-CN"/>
        </w:rPr>
      </w:pPr>
      <w:r>
        <w:rPr>
          <w:rFonts w:hint="eastAsia" w:ascii="宋体" w:hAnsi="宋体" w:cs="宋体"/>
          <w:b/>
          <w:bCs/>
          <w:color w:val="auto"/>
          <w:kern w:val="0"/>
          <w:highlight w:val="none"/>
          <w:lang w:val="en-US" w:eastAsia="zh-CN"/>
        </w:rPr>
        <w:t>8-3.</w:t>
      </w:r>
      <w:r>
        <w:rPr>
          <w:rFonts w:hint="eastAsia" w:ascii="宋体" w:hAnsi="宋体" w:cs="宋体"/>
          <w:b w:val="0"/>
          <w:bCs w:val="0"/>
          <w:color w:val="auto"/>
          <w:kern w:val="0"/>
          <w:highlight w:val="none"/>
          <w:lang w:val="en-US" w:eastAsia="zh-CN"/>
        </w:rPr>
        <w:t>售后服务</w:t>
      </w:r>
      <w:r>
        <w:rPr>
          <w:rFonts w:hint="eastAsia" w:hAnsi="宋体"/>
          <w:color w:val="auto"/>
          <w:highlight w:val="none"/>
        </w:rPr>
        <w:t>（含服务承诺）</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3E9D3ADE">
      <w:pPr>
        <w:spacing w:line="400" w:lineRule="exact"/>
        <w:rPr>
          <w:rFonts w:hint="eastAsia" w:ascii="宋体" w:hAnsi="宋体" w:cs="宋体"/>
          <w:b/>
          <w:bCs/>
          <w:color w:val="auto"/>
          <w:kern w:val="0"/>
          <w:highlight w:val="none"/>
          <w:lang w:val="en-US" w:eastAsia="zh-CN"/>
        </w:rPr>
      </w:pPr>
    </w:p>
    <w:p w14:paraId="0C233417">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4</w:t>
      </w:r>
      <w:r>
        <w:rPr>
          <w:rFonts w:hint="eastAsia" w:ascii="宋体" w:hAnsi="宋体" w:cs="宋体"/>
          <w:b/>
          <w:bCs/>
          <w:color w:val="auto"/>
          <w:highlight w:val="none"/>
        </w:rPr>
        <w:t>.</w:t>
      </w:r>
      <w:r>
        <w:rPr>
          <w:rFonts w:hint="eastAsia" w:ascii="宋体" w:hAnsi="宋体" w:cs="宋体"/>
          <w:color w:val="auto"/>
          <w:kern w:val="0"/>
          <w:highlight w:val="none"/>
          <w:lang w:eastAsia="zh-CN"/>
        </w:rPr>
        <w:t>供应商</w:t>
      </w:r>
      <w:r>
        <w:rPr>
          <w:rFonts w:hint="eastAsia" w:ascii="宋体" w:hAnsi="宋体" w:cs="宋体"/>
          <w:color w:val="auto"/>
          <w:kern w:val="0"/>
          <w:highlight w:val="none"/>
        </w:rPr>
        <w:t>可提供的增值服务</w:t>
      </w:r>
      <w:r>
        <w:rPr>
          <w:rFonts w:hint="eastAsia" w:ascii="宋体" w:hAnsi="宋体" w:cs="宋体"/>
          <w:color w:val="auto"/>
          <w:highlight w:val="none"/>
        </w:rPr>
        <w:t>（根据项目需求</w:t>
      </w:r>
      <w:r>
        <w:rPr>
          <w:rFonts w:hint="eastAsia" w:ascii="宋体" w:hAnsi="宋体" w:cs="宋体"/>
          <w:color w:val="auto"/>
          <w:highlight w:val="none"/>
          <w:lang w:eastAsia="zh-CN"/>
        </w:rPr>
        <w:t>供应商</w:t>
      </w:r>
      <w:r>
        <w:rPr>
          <w:rFonts w:hint="eastAsia" w:ascii="宋体" w:hAnsi="宋体" w:cs="宋体"/>
          <w:color w:val="auto"/>
          <w:highlight w:val="none"/>
        </w:rPr>
        <w:t>自行填写）</w:t>
      </w:r>
    </w:p>
    <w:p w14:paraId="78ECF44B">
      <w:pPr>
        <w:spacing w:line="400" w:lineRule="exact"/>
        <w:rPr>
          <w:rFonts w:ascii="宋体" w:hAnsi="宋体" w:cs="宋体"/>
          <w:b/>
          <w:bCs/>
          <w:color w:val="auto"/>
          <w:highlight w:val="none"/>
        </w:rPr>
      </w:pPr>
    </w:p>
    <w:p w14:paraId="2ED37C9D">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5</w:t>
      </w:r>
      <w:r>
        <w:rPr>
          <w:rFonts w:hint="eastAsia" w:ascii="宋体" w:hAnsi="宋体" w:cs="宋体"/>
          <w:b/>
          <w:bCs/>
          <w:color w:val="auto"/>
          <w:highlight w:val="none"/>
        </w:rPr>
        <w:t>.</w:t>
      </w:r>
      <w:r>
        <w:rPr>
          <w:rFonts w:hint="eastAsia" w:ascii="宋体" w:hAnsi="宋体" w:cs="宋体"/>
          <w:color w:val="auto"/>
          <w:highlight w:val="none"/>
          <w:lang w:eastAsia="zh-CN"/>
        </w:rPr>
        <w:t>供应商</w:t>
      </w:r>
      <w:r>
        <w:rPr>
          <w:rFonts w:hint="eastAsia" w:ascii="宋体" w:hAnsi="宋体" w:cs="宋体"/>
          <w:color w:val="auto"/>
          <w:highlight w:val="none"/>
        </w:rPr>
        <w:t>认为需提供的其他材料（根据项目需求编写）</w:t>
      </w:r>
    </w:p>
    <w:p w14:paraId="60B3AC62">
      <w:pPr>
        <w:pStyle w:val="20"/>
        <w:spacing w:after="0" w:line="400" w:lineRule="exact"/>
        <w:rPr>
          <w:rFonts w:ascii="宋体" w:hAnsi="宋体" w:cs="宋体"/>
          <w:color w:val="auto"/>
          <w:highlight w:val="none"/>
        </w:rPr>
      </w:pPr>
    </w:p>
    <w:p w14:paraId="66993A4C">
      <w:pPr>
        <w:pStyle w:val="20"/>
        <w:spacing w:after="0" w:line="400" w:lineRule="exact"/>
        <w:rPr>
          <w:rFonts w:ascii="宋体" w:hAnsi="宋体" w:cs="宋体"/>
          <w:color w:val="auto"/>
          <w:kern w:val="0"/>
          <w:highlight w:val="none"/>
        </w:rPr>
      </w:pPr>
    </w:p>
    <w:p w14:paraId="660D686C">
      <w:pPr>
        <w:pStyle w:val="20"/>
        <w:spacing w:after="0" w:line="400" w:lineRule="exact"/>
        <w:rPr>
          <w:rFonts w:ascii="宋体" w:hAnsi="宋体" w:cs="宋体"/>
          <w:color w:val="auto"/>
          <w:highlight w:val="none"/>
        </w:rPr>
      </w:pPr>
    </w:p>
    <w:p w14:paraId="4E6DC6AF">
      <w:pPr>
        <w:pStyle w:val="3"/>
        <w:spacing w:before="0" w:after="0" w:line="400" w:lineRule="exact"/>
        <w:rPr>
          <w:rFonts w:ascii="宋体" w:hAnsi="宋体" w:eastAsia="宋体" w:cs="宋体"/>
          <w:color w:val="auto"/>
          <w:kern w:val="0"/>
          <w:sz w:val="21"/>
          <w:szCs w:val="21"/>
          <w:highlight w:val="none"/>
        </w:rPr>
      </w:pPr>
    </w:p>
    <w:p w14:paraId="6E4B9C25">
      <w:pPr>
        <w:pStyle w:val="3"/>
        <w:spacing w:before="0" w:after="0" w:line="400" w:lineRule="exact"/>
        <w:rPr>
          <w:rFonts w:ascii="宋体" w:hAnsi="宋体" w:eastAsia="宋体" w:cs="宋体"/>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567135E3">
      <w:pPr>
        <w:pStyle w:val="3"/>
        <w:spacing w:before="0" w:after="0"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6</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eastAsia="zh-CN"/>
        </w:rPr>
        <w:t>供应商</w:t>
      </w:r>
      <w:r>
        <w:rPr>
          <w:rFonts w:ascii="Times New Roman" w:hAnsi="Times New Roman" w:eastAsia="宋体" w:cs="Times New Roman"/>
          <w:color w:val="auto"/>
          <w:kern w:val="0"/>
          <w:sz w:val="21"/>
          <w:szCs w:val="21"/>
          <w:highlight w:val="none"/>
        </w:rPr>
        <w:t>提供</w:t>
      </w:r>
      <w:r>
        <w:rPr>
          <w:rFonts w:ascii="Times New Roman" w:hAnsi="Times New Roman" w:eastAsia="宋体" w:cs="Times New Roman"/>
          <w:bCs w:val="0"/>
          <w:color w:val="auto"/>
          <w:kern w:val="0"/>
          <w:sz w:val="21"/>
          <w:szCs w:val="21"/>
          <w:highlight w:val="none"/>
        </w:rPr>
        <w:t>自20</w:t>
      </w:r>
      <w:r>
        <w:rPr>
          <w:rFonts w:hint="eastAsia" w:ascii="Times New Roman" w:hAnsi="Times New Roman" w:eastAsia="宋体" w:cs="Times New Roman"/>
          <w:bCs w:val="0"/>
          <w:color w:val="auto"/>
          <w:kern w:val="0"/>
          <w:sz w:val="21"/>
          <w:szCs w:val="21"/>
          <w:highlight w:val="none"/>
        </w:rPr>
        <w:t>2</w:t>
      </w:r>
      <w:r>
        <w:rPr>
          <w:rFonts w:hint="eastAsia" w:ascii="Times New Roman" w:hAnsi="Times New Roman" w:eastAsia="宋体" w:cs="Times New Roman"/>
          <w:bCs w:val="0"/>
          <w:color w:val="auto"/>
          <w:kern w:val="0"/>
          <w:sz w:val="21"/>
          <w:szCs w:val="21"/>
          <w:highlight w:val="none"/>
          <w:lang w:val="en-US" w:eastAsia="zh-CN"/>
        </w:rPr>
        <w:t>3</w:t>
      </w:r>
      <w:r>
        <w:rPr>
          <w:rFonts w:ascii="Times New Roman" w:hAnsi="Times New Roman" w:eastAsia="宋体" w:cs="Times New Roman"/>
          <w:bCs w:val="0"/>
          <w:color w:val="auto"/>
          <w:kern w:val="0"/>
          <w:sz w:val="21"/>
          <w:szCs w:val="21"/>
          <w:highlight w:val="none"/>
        </w:rPr>
        <w:t>年1月1日</w:t>
      </w:r>
      <w:r>
        <w:rPr>
          <w:rFonts w:hint="eastAsia" w:ascii="Times New Roman" w:hAnsi="Times New Roman" w:eastAsia="宋体" w:cs="Times New Roman"/>
          <w:color w:val="auto"/>
          <w:kern w:val="0"/>
          <w:sz w:val="21"/>
          <w:szCs w:val="21"/>
          <w:highlight w:val="none"/>
          <w:lang w:eastAsia="zh-CN"/>
        </w:rPr>
        <w:t>以来</w:t>
      </w:r>
      <w:r>
        <w:rPr>
          <w:rFonts w:hint="eastAsia" w:ascii="Times New Roman" w:hAnsi="Times New Roman" w:eastAsia="宋体" w:cs="Times New Roman"/>
          <w:color w:val="auto"/>
          <w:kern w:val="0"/>
          <w:sz w:val="21"/>
          <w:szCs w:val="21"/>
          <w:highlight w:val="none"/>
          <w:lang w:val="en-US" w:eastAsia="zh-CN"/>
        </w:rPr>
        <w:t>完成过的同类项目</w:t>
      </w:r>
      <w:r>
        <w:rPr>
          <w:rFonts w:hint="eastAsia" w:ascii="Times New Roman" w:hAnsi="Times New Roman" w:eastAsia="宋体" w:cs="Times New Roman"/>
          <w:color w:val="auto"/>
          <w:kern w:val="0"/>
          <w:sz w:val="21"/>
          <w:szCs w:val="21"/>
          <w:highlight w:val="none"/>
          <w:lang w:eastAsia="zh-CN"/>
        </w:rPr>
        <w:t>的</w:t>
      </w:r>
      <w:r>
        <w:rPr>
          <w:rFonts w:ascii="Times New Roman" w:hAnsi="Times New Roman" w:eastAsia="宋体" w:cs="Times New Roman"/>
          <w:bCs w:val="0"/>
          <w:color w:val="auto"/>
          <w:kern w:val="0"/>
          <w:sz w:val="21"/>
          <w:szCs w:val="21"/>
          <w:highlight w:val="none"/>
        </w:rPr>
        <w:t>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6CF0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DB6A16D">
            <w:pPr>
              <w:spacing w:line="400" w:lineRule="exact"/>
              <w:jc w:val="center"/>
              <w:rPr>
                <w:color w:val="auto"/>
                <w:highlight w:val="none"/>
              </w:rPr>
            </w:pPr>
            <w:r>
              <w:rPr>
                <w:color w:val="auto"/>
                <w:highlight w:val="none"/>
              </w:rPr>
              <w:t>序号</w:t>
            </w:r>
          </w:p>
        </w:tc>
        <w:tc>
          <w:tcPr>
            <w:tcW w:w="1545" w:type="dxa"/>
            <w:vAlign w:val="center"/>
          </w:tcPr>
          <w:p w14:paraId="38541D8F">
            <w:pPr>
              <w:spacing w:line="400" w:lineRule="exact"/>
              <w:jc w:val="center"/>
              <w:rPr>
                <w:color w:val="auto"/>
                <w:highlight w:val="none"/>
              </w:rPr>
            </w:pPr>
            <w:r>
              <w:rPr>
                <w:color w:val="auto"/>
                <w:highlight w:val="none"/>
              </w:rPr>
              <w:t>采购单位名称</w:t>
            </w:r>
          </w:p>
        </w:tc>
        <w:tc>
          <w:tcPr>
            <w:tcW w:w="1529" w:type="dxa"/>
            <w:vAlign w:val="center"/>
          </w:tcPr>
          <w:p w14:paraId="6AD9719C">
            <w:pPr>
              <w:spacing w:line="400" w:lineRule="exact"/>
              <w:jc w:val="center"/>
              <w:rPr>
                <w:color w:val="auto"/>
                <w:highlight w:val="none"/>
              </w:rPr>
            </w:pPr>
            <w:r>
              <w:rPr>
                <w:color w:val="auto"/>
                <w:highlight w:val="none"/>
              </w:rPr>
              <w:t>项目名称或服务内容</w:t>
            </w:r>
          </w:p>
        </w:tc>
        <w:tc>
          <w:tcPr>
            <w:tcW w:w="1059" w:type="dxa"/>
            <w:vAlign w:val="center"/>
          </w:tcPr>
          <w:p w14:paraId="18B2FE81">
            <w:pPr>
              <w:spacing w:line="400" w:lineRule="exact"/>
              <w:jc w:val="center"/>
              <w:rPr>
                <w:color w:val="auto"/>
                <w:highlight w:val="none"/>
              </w:rPr>
            </w:pPr>
            <w:r>
              <w:rPr>
                <w:color w:val="auto"/>
                <w:highlight w:val="none"/>
              </w:rPr>
              <w:t>服务数量或年限</w:t>
            </w:r>
          </w:p>
        </w:tc>
        <w:tc>
          <w:tcPr>
            <w:tcW w:w="1410" w:type="dxa"/>
            <w:vAlign w:val="center"/>
          </w:tcPr>
          <w:p w14:paraId="381905A7">
            <w:pPr>
              <w:spacing w:line="400" w:lineRule="exact"/>
              <w:jc w:val="center"/>
              <w:rPr>
                <w:color w:val="auto"/>
                <w:highlight w:val="none"/>
              </w:rPr>
            </w:pPr>
            <w:r>
              <w:rPr>
                <w:color w:val="auto"/>
                <w:highlight w:val="none"/>
              </w:rPr>
              <w:t>合同金额</w:t>
            </w:r>
            <w:r>
              <w:rPr>
                <w:rFonts w:hint="eastAsia"/>
                <w:color w:val="auto"/>
                <w:highlight w:val="none"/>
              </w:rPr>
              <w:t>（元）（如有）</w:t>
            </w:r>
          </w:p>
        </w:tc>
        <w:tc>
          <w:tcPr>
            <w:tcW w:w="1507" w:type="dxa"/>
            <w:vAlign w:val="center"/>
          </w:tcPr>
          <w:p w14:paraId="13E60C8D">
            <w:pPr>
              <w:spacing w:line="400" w:lineRule="exact"/>
              <w:jc w:val="center"/>
              <w:rPr>
                <w:color w:val="auto"/>
                <w:highlight w:val="none"/>
              </w:rPr>
            </w:pPr>
            <w:r>
              <w:rPr>
                <w:color w:val="auto"/>
                <w:highlight w:val="none"/>
              </w:rPr>
              <w:t>合同执行时间</w:t>
            </w:r>
          </w:p>
        </w:tc>
        <w:tc>
          <w:tcPr>
            <w:tcW w:w="1475" w:type="dxa"/>
            <w:vAlign w:val="center"/>
          </w:tcPr>
          <w:p w14:paraId="7EA1AE9B">
            <w:pPr>
              <w:spacing w:line="400" w:lineRule="exact"/>
              <w:jc w:val="center"/>
              <w:rPr>
                <w:color w:val="auto"/>
                <w:highlight w:val="none"/>
              </w:rPr>
            </w:pPr>
            <w:r>
              <w:rPr>
                <w:color w:val="auto"/>
                <w:highlight w:val="none"/>
              </w:rPr>
              <w:t>备注</w:t>
            </w:r>
          </w:p>
        </w:tc>
      </w:tr>
      <w:tr w14:paraId="7C52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0659B2E5">
            <w:pPr>
              <w:spacing w:line="400" w:lineRule="exact"/>
              <w:jc w:val="center"/>
              <w:rPr>
                <w:color w:val="auto"/>
                <w:highlight w:val="none"/>
              </w:rPr>
            </w:pPr>
          </w:p>
        </w:tc>
        <w:tc>
          <w:tcPr>
            <w:tcW w:w="1545" w:type="dxa"/>
          </w:tcPr>
          <w:p w14:paraId="7624A352">
            <w:pPr>
              <w:spacing w:line="400" w:lineRule="exact"/>
              <w:rPr>
                <w:color w:val="auto"/>
                <w:highlight w:val="none"/>
              </w:rPr>
            </w:pPr>
          </w:p>
        </w:tc>
        <w:tc>
          <w:tcPr>
            <w:tcW w:w="1529" w:type="dxa"/>
          </w:tcPr>
          <w:p w14:paraId="6D91B30A">
            <w:pPr>
              <w:spacing w:line="400" w:lineRule="exact"/>
              <w:rPr>
                <w:color w:val="auto"/>
                <w:highlight w:val="none"/>
              </w:rPr>
            </w:pPr>
          </w:p>
        </w:tc>
        <w:tc>
          <w:tcPr>
            <w:tcW w:w="1059" w:type="dxa"/>
          </w:tcPr>
          <w:p w14:paraId="0FCA77C6">
            <w:pPr>
              <w:spacing w:line="400" w:lineRule="exact"/>
              <w:rPr>
                <w:color w:val="auto"/>
                <w:highlight w:val="none"/>
              </w:rPr>
            </w:pPr>
          </w:p>
        </w:tc>
        <w:tc>
          <w:tcPr>
            <w:tcW w:w="1410" w:type="dxa"/>
          </w:tcPr>
          <w:p w14:paraId="6148CD47">
            <w:pPr>
              <w:spacing w:line="400" w:lineRule="exact"/>
              <w:rPr>
                <w:color w:val="auto"/>
                <w:highlight w:val="none"/>
              </w:rPr>
            </w:pPr>
          </w:p>
        </w:tc>
        <w:tc>
          <w:tcPr>
            <w:tcW w:w="1507" w:type="dxa"/>
          </w:tcPr>
          <w:p w14:paraId="7E3AD123">
            <w:pPr>
              <w:spacing w:line="400" w:lineRule="exact"/>
              <w:rPr>
                <w:color w:val="auto"/>
                <w:highlight w:val="none"/>
              </w:rPr>
            </w:pPr>
          </w:p>
        </w:tc>
        <w:tc>
          <w:tcPr>
            <w:tcW w:w="1475" w:type="dxa"/>
          </w:tcPr>
          <w:p w14:paraId="54306358">
            <w:pPr>
              <w:spacing w:line="400" w:lineRule="exact"/>
              <w:rPr>
                <w:color w:val="auto"/>
                <w:highlight w:val="none"/>
              </w:rPr>
            </w:pPr>
          </w:p>
        </w:tc>
      </w:tr>
      <w:tr w14:paraId="7E15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643632DC">
            <w:pPr>
              <w:spacing w:line="400" w:lineRule="exact"/>
              <w:jc w:val="center"/>
              <w:rPr>
                <w:color w:val="auto"/>
                <w:highlight w:val="none"/>
              </w:rPr>
            </w:pPr>
          </w:p>
        </w:tc>
        <w:tc>
          <w:tcPr>
            <w:tcW w:w="1545" w:type="dxa"/>
          </w:tcPr>
          <w:p w14:paraId="71D2D53A">
            <w:pPr>
              <w:spacing w:line="400" w:lineRule="exact"/>
              <w:rPr>
                <w:color w:val="auto"/>
                <w:highlight w:val="none"/>
              </w:rPr>
            </w:pPr>
          </w:p>
        </w:tc>
        <w:tc>
          <w:tcPr>
            <w:tcW w:w="1529" w:type="dxa"/>
          </w:tcPr>
          <w:p w14:paraId="3EF5802A">
            <w:pPr>
              <w:spacing w:line="400" w:lineRule="exact"/>
              <w:rPr>
                <w:color w:val="auto"/>
                <w:highlight w:val="none"/>
              </w:rPr>
            </w:pPr>
          </w:p>
        </w:tc>
        <w:tc>
          <w:tcPr>
            <w:tcW w:w="1059" w:type="dxa"/>
          </w:tcPr>
          <w:p w14:paraId="1C15C651">
            <w:pPr>
              <w:spacing w:line="400" w:lineRule="exact"/>
              <w:rPr>
                <w:color w:val="auto"/>
                <w:highlight w:val="none"/>
              </w:rPr>
            </w:pPr>
          </w:p>
        </w:tc>
        <w:tc>
          <w:tcPr>
            <w:tcW w:w="1410" w:type="dxa"/>
          </w:tcPr>
          <w:p w14:paraId="7CEC795C">
            <w:pPr>
              <w:spacing w:line="400" w:lineRule="exact"/>
              <w:rPr>
                <w:color w:val="auto"/>
                <w:highlight w:val="none"/>
              </w:rPr>
            </w:pPr>
          </w:p>
        </w:tc>
        <w:tc>
          <w:tcPr>
            <w:tcW w:w="1507" w:type="dxa"/>
          </w:tcPr>
          <w:p w14:paraId="49566E47">
            <w:pPr>
              <w:spacing w:line="400" w:lineRule="exact"/>
              <w:rPr>
                <w:color w:val="auto"/>
                <w:highlight w:val="none"/>
              </w:rPr>
            </w:pPr>
          </w:p>
        </w:tc>
        <w:tc>
          <w:tcPr>
            <w:tcW w:w="1475" w:type="dxa"/>
          </w:tcPr>
          <w:p w14:paraId="592D7E10">
            <w:pPr>
              <w:spacing w:line="400" w:lineRule="exact"/>
              <w:rPr>
                <w:color w:val="auto"/>
                <w:highlight w:val="none"/>
              </w:rPr>
            </w:pPr>
          </w:p>
        </w:tc>
      </w:tr>
      <w:tr w14:paraId="01E1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7334DD4">
            <w:pPr>
              <w:spacing w:line="400" w:lineRule="exact"/>
              <w:jc w:val="center"/>
              <w:rPr>
                <w:color w:val="auto"/>
                <w:highlight w:val="none"/>
              </w:rPr>
            </w:pPr>
          </w:p>
        </w:tc>
        <w:tc>
          <w:tcPr>
            <w:tcW w:w="1545" w:type="dxa"/>
          </w:tcPr>
          <w:p w14:paraId="0067E837">
            <w:pPr>
              <w:spacing w:line="400" w:lineRule="exact"/>
              <w:rPr>
                <w:color w:val="auto"/>
                <w:highlight w:val="none"/>
              </w:rPr>
            </w:pPr>
          </w:p>
        </w:tc>
        <w:tc>
          <w:tcPr>
            <w:tcW w:w="1529" w:type="dxa"/>
          </w:tcPr>
          <w:p w14:paraId="75787EA9">
            <w:pPr>
              <w:spacing w:line="400" w:lineRule="exact"/>
              <w:rPr>
                <w:color w:val="auto"/>
                <w:highlight w:val="none"/>
              </w:rPr>
            </w:pPr>
          </w:p>
        </w:tc>
        <w:tc>
          <w:tcPr>
            <w:tcW w:w="1059" w:type="dxa"/>
          </w:tcPr>
          <w:p w14:paraId="69FA4B5F">
            <w:pPr>
              <w:spacing w:line="400" w:lineRule="exact"/>
              <w:rPr>
                <w:color w:val="auto"/>
                <w:highlight w:val="none"/>
              </w:rPr>
            </w:pPr>
          </w:p>
        </w:tc>
        <w:tc>
          <w:tcPr>
            <w:tcW w:w="1410" w:type="dxa"/>
          </w:tcPr>
          <w:p w14:paraId="058D10AC">
            <w:pPr>
              <w:spacing w:line="400" w:lineRule="exact"/>
              <w:rPr>
                <w:color w:val="auto"/>
                <w:highlight w:val="none"/>
              </w:rPr>
            </w:pPr>
          </w:p>
        </w:tc>
        <w:tc>
          <w:tcPr>
            <w:tcW w:w="1507" w:type="dxa"/>
          </w:tcPr>
          <w:p w14:paraId="4E8D2E5A">
            <w:pPr>
              <w:spacing w:line="400" w:lineRule="exact"/>
              <w:rPr>
                <w:color w:val="auto"/>
                <w:highlight w:val="none"/>
              </w:rPr>
            </w:pPr>
          </w:p>
        </w:tc>
        <w:tc>
          <w:tcPr>
            <w:tcW w:w="1475" w:type="dxa"/>
          </w:tcPr>
          <w:p w14:paraId="270E248A">
            <w:pPr>
              <w:spacing w:line="400" w:lineRule="exact"/>
              <w:rPr>
                <w:color w:val="auto"/>
                <w:highlight w:val="none"/>
              </w:rPr>
            </w:pPr>
          </w:p>
        </w:tc>
      </w:tr>
      <w:tr w14:paraId="5A15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73AC671">
            <w:pPr>
              <w:spacing w:line="400" w:lineRule="exact"/>
              <w:rPr>
                <w:color w:val="auto"/>
                <w:highlight w:val="none"/>
              </w:rPr>
            </w:pPr>
          </w:p>
        </w:tc>
        <w:tc>
          <w:tcPr>
            <w:tcW w:w="1545" w:type="dxa"/>
          </w:tcPr>
          <w:p w14:paraId="52E356D3">
            <w:pPr>
              <w:spacing w:line="400" w:lineRule="exact"/>
              <w:rPr>
                <w:color w:val="auto"/>
                <w:highlight w:val="none"/>
              </w:rPr>
            </w:pPr>
          </w:p>
        </w:tc>
        <w:tc>
          <w:tcPr>
            <w:tcW w:w="1529" w:type="dxa"/>
          </w:tcPr>
          <w:p w14:paraId="26429095">
            <w:pPr>
              <w:spacing w:line="400" w:lineRule="exact"/>
              <w:rPr>
                <w:color w:val="auto"/>
                <w:highlight w:val="none"/>
              </w:rPr>
            </w:pPr>
          </w:p>
        </w:tc>
        <w:tc>
          <w:tcPr>
            <w:tcW w:w="1059" w:type="dxa"/>
          </w:tcPr>
          <w:p w14:paraId="7B5CCD6B">
            <w:pPr>
              <w:spacing w:line="400" w:lineRule="exact"/>
              <w:rPr>
                <w:color w:val="auto"/>
                <w:highlight w:val="none"/>
              </w:rPr>
            </w:pPr>
          </w:p>
        </w:tc>
        <w:tc>
          <w:tcPr>
            <w:tcW w:w="1410" w:type="dxa"/>
          </w:tcPr>
          <w:p w14:paraId="03332EA3">
            <w:pPr>
              <w:spacing w:line="400" w:lineRule="exact"/>
              <w:rPr>
                <w:color w:val="auto"/>
                <w:highlight w:val="none"/>
              </w:rPr>
            </w:pPr>
          </w:p>
        </w:tc>
        <w:tc>
          <w:tcPr>
            <w:tcW w:w="1507" w:type="dxa"/>
          </w:tcPr>
          <w:p w14:paraId="38B80B7C">
            <w:pPr>
              <w:spacing w:line="400" w:lineRule="exact"/>
              <w:rPr>
                <w:color w:val="auto"/>
                <w:highlight w:val="none"/>
              </w:rPr>
            </w:pPr>
          </w:p>
        </w:tc>
        <w:tc>
          <w:tcPr>
            <w:tcW w:w="1475" w:type="dxa"/>
          </w:tcPr>
          <w:p w14:paraId="6E1D6746">
            <w:pPr>
              <w:spacing w:line="400" w:lineRule="exact"/>
              <w:rPr>
                <w:color w:val="auto"/>
                <w:highlight w:val="none"/>
              </w:rPr>
            </w:pPr>
          </w:p>
        </w:tc>
      </w:tr>
    </w:tbl>
    <w:p w14:paraId="03B3F0CC">
      <w:pPr>
        <w:pStyle w:val="35"/>
        <w:rPr>
          <w:rFonts w:hint="default"/>
          <w:color w:val="auto"/>
          <w:highlight w:val="none"/>
          <w:lang w:val="en-US" w:eastAsia="zh-CN"/>
        </w:rPr>
      </w:pPr>
    </w:p>
    <w:p w14:paraId="3C03147B">
      <w:pPr>
        <w:tabs>
          <w:tab w:val="left" w:pos="567"/>
        </w:tabs>
        <w:spacing w:line="400" w:lineRule="exact"/>
        <w:ind w:firstLine="420" w:firstLineChars="200"/>
        <w:rPr>
          <w:color w:val="auto"/>
          <w:highlight w:val="none"/>
        </w:rPr>
      </w:pPr>
      <w:r>
        <w:rPr>
          <w:color w:val="auto"/>
          <w:highlight w:val="none"/>
        </w:rPr>
        <w:t>1.本表后附相关合同有效页复印件，应按顺序附于本表后；</w:t>
      </w:r>
    </w:p>
    <w:p w14:paraId="499F058E">
      <w:pPr>
        <w:tabs>
          <w:tab w:val="left" w:pos="567"/>
        </w:tabs>
        <w:spacing w:line="400" w:lineRule="exact"/>
        <w:ind w:firstLine="420" w:firstLineChars="200"/>
        <w:rPr>
          <w:color w:val="auto"/>
          <w:sz w:val="24"/>
          <w:highlight w:val="none"/>
        </w:rPr>
      </w:pPr>
      <w:r>
        <w:rPr>
          <w:color w:val="auto"/>
          <w:highlight w:val="none"/>
        </w:rPr>
        <w:t>2.表格不够</w:t>
      </w:r>
      <w:r>
        <w:rPr>
          <w:rFonts w:hint="eastAsia"/>
          <w:color w:val="auto"/>
          <w:highlight w:val="none"/>
          <w:lang w:eastAsia="zh-CN"/>
        </w:rPr>
        <w:t>供应商</w:t>
      </w:r>
      <w:r>
        <w:rPr>
          <w:color w:val="auto"/>
          <w:highlight w:val="none"/>
        </w:rPr>
        <w:t>可以自行扩展，如有多页，请逐页盖章。</w:t>
      </w:r>
    </w:p>
    <w:p w14:paraId="750E6BAA">
      <w:pPr>
        <w:tabs>
          <w:tab w:val="left" w:pos="567"/>
        </w:tabs>
        <w:spacing w:line="400" w:lineRule="exact"/>
        <w:rPr>
          <w:color w:val="auto"/>
          <w:highlight w:val="none"/>
        </w:rPr>
      </w:pPr>
    </w:p>
    <w:p w14:paraId="621610AC">
      <w:pPr>
        <w:spacing w:line="400" w:lineRule="exact"/>
        <w:rPr>
          <w:color w:val="auto"/>
          <w:highlight w:val="none"/>
          <w:u w:val="single"/>
        </w:rPr>
      </w:pPr>
      <w:r>
        <w:rPr>
          <w:rFonts w:hint="eastAsia"/>
          <w:color w:val="auto"/>
          <w:highlight w:val="none"/>
          <w:lang w:eastAsia="zh-CN"/>
        </w:rPr>
        <w:t>供应商</w:t>
      </w:r>
      <w:r>
        <w:rPr>
          <w:color w:val="auto"/>
          <w:highlight w:val="none"/>
        </w:rPr>
        <w:t>（公章）</w:t>
      </w:r>
      <w:r>
        <w:rPr>
          <w:rFonts w:hint="eastAsia"/>
          <w:color w:val="auto"/>
          <w:highlight w:val="none"/>
        </w:rPr>
        <w:t>：</w:t>
      </w:r>
    </w:p>
    <w:p w14:paraId="49F33A87">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7BCD69E7">
      <w:pPr>
        <w:pStyle w:val="14"/>
        <w:spacing w:line="400" w:lineRule="exact"/>
        <w:ind w:firstLine="0"/>
        <w:rPr>
          <w:color w:val="auto"/>
          <w:highlight w:val="none"/>
        </w:rPr>
      </w:pPr>
      <w:r>
        <w:rPr>
          <w:color w:val="auto"/>
          <w:highlight w:val="none"/>
        </w:rPr>
        <w:t>日期</w:t>
      </w:r>
      <w:r>
        <w:rPr>
          <w:rFonts w:hint="eastAsia"/>
          <w:color w:val="auto"/>
          <w:highlight w:val="none"/>
        </w:rPr>
        <w:t>：</w:t>
      </w:r>
    </w:p>
    <w:p w14:paraId="440DEA7B">
      <w:pPr>
        <w:pStyle w:val="14"/>
        <w:ind w:firstLine="0"/>
        <w:rPr>
          <w:b/>
          <w:color w:val="auto"/>
          <w:kern w:val="0"/>
          <w:highlight w:val="none"/>
        </w:rPr>
      </w:pPr>
    </w:p>
    <w:p w14:paraId="6D4E94F3">
      <w:pPr>
        <w:pStyle w:val="14"/>
        <w:ind w:firstLine="0"/>
        <w:rPr>
          <w:b/>
          <w:color w:val="auto"/>
          <w:kern w:val="0"/>
          <w:highlight w:val="none"/>
        </w:rPr>
      </w:pPr>
    </w:p>
    <w:p w14:paraId="5006B21A">
      <w:pPr>
        <w:pStyle w:val="14"/>
        <w:ind w:firstLine="0"/>
        <w:rPr>
          <w:b/>
          <w:color w:val="auto"/>
          <w:kern w:val="0"/>
          <w:szCs w:val="22"/>
          <w:highlight w:val="none"/>
        </w:rPr>
      </w:pPr>
      <w:r>
        <w:rPr>
          <w:rFonts w:hint="eastAsia"/>
          <w:b/>
          <w:color w:val="auto"/>
          <w:kern w:val="0"/>
          <w:highlight w:val="none"/>
          <w:lang w:val="en-US" w:eastAsia="zh-CN"/>
        </w:rPr>
        <w:t>8</w:t>
      </w:r>
      <w:r>
        <w:rPr>
          <w:b/>
          <w:color w:val="auto"/>
          <w:kern w:val="0"/>
          <w:highlight w:val="none"/>
        </w:rPr>
        <w:t>-</w:t>
      </w:r>
      <w:r>
        <w:rPr>
          <w:rFonts w:hint="eastAsia"/>
          <w:b/>
          <w:color w:val="auto"/>
          <w:kern w:val="0"/>
          <w:highlight w:val="none"/>
          <w:lang w:val="en-US" w:eastAsia="zh-CN"/>
        </w:rPr>
        <w:t>7</w:t>
      </w:r>
      <w:r>
        <w:rPr>
          <w:b/>
          <w:color w:val="auto"/>
          <w:kern w:val="0"/>
          <w:highlight w:val="none"/>
        </w:rPr>
        <w:t>.</w:t>
      </w:r>
      <w:r>
        <w:rPr>
          <w:color w:val="auto"/>
          <w:highlight w:val="none"/>
        </w:rPr>
        <w:t>项目拟投入服务团队人员结构表（包括但不限于学历、证书情况、职称、年龄、业绩及证明材料等）（如磋商文件有要求时提供）</w:t>
      </w:r>
    </w:p>
    <w:p w14:paraId="5E273350">
      <w:pPr>
        <w:pStyle w:val="14"/>
        <w:ind w:firstLine="0"/>
        <w:jc w:val="center"/>
        <w:rPr>
          <w:b/>
          <w:color w:val="auto"/>
          <w:kern w:val="0"/>
          <w:szCs w:val="22"/>
          <w:highlight w:val="none"/>
        </w:rPr>
      </w:pPr>
      <w:r>
        <w:rPr>
          <w:rFonts w:hint="eastAsia"/>
          <w:color w:val="auto"/>
          <w:highlight w:val="none"/>
          <w:lang w:val="en-US" w:eastAsia="zh-CN"/>
        </w:rPr>
        <w:t>8-7</w:t>
      </w:r>
      <w:r>
        <w:rPr>
          <w:rFonts w:hint="eastAsia"/>
          <w:color w:val="auto"/>
          <w:highlight w:val="none"/>
        </w:rPr>
        <w:t>-1.</w:t>
      </w:r>
      <w:r>
        <w:rPr>
          <w:color w:val="auto"/>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2C5A8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6617C88">
            <w:pPr>
              <w:pStyle w:val="29"/>
              <w:jc w:val="center"/>
              <w:rPr>
                <w:color w:val="auto"/>
                <w:sz w:val="21"/>
                <w:szCs w:val="21"/>
                <w:highlight w:val="none"/>
              </w:rPr>
            </w:pPr>
            <w:r>
              <w:rPr>
                <w:color w:val="auto"/>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3FB9B754">
            <w:pPr>
              <w:pStyle w:val="29"/>
              <w:jc w:val="center"/>
              <w:rPr>
                <w:color w:val="auto"/>
                <w:sz w:val="21"/>
                <w:szCs w:val="21"/>
                <w:highlight w:val="none"/>
              </w:rPr>
            </w:pPr>
            <w:r>
              <w:rPr>
                <w:color w:val="auto"/>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297EE2B7">
            <w:pPr>
              <w:pStyle w:val="29"/>
              <w:jc w:val="center"/>
              <w:rPr>
                <w:color w:val="auto"/>
                <w:sz w:val="21"/>
                <w:szCs w:val="21"/>
                <w:highlight w:val="none"/>
              </w:rPr>
            </w:pPr>
            <w:r>
              <w:rPr>
                <w:color w:val="auto"/>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48896530">
            <w:pPr>
              <w:pStyle w:val="29"/>
              <w:jc w:val="center"/>
              <w:rPr>
                <w:color w:val="auto"/>
                <w:sz w:val="21"/>
                <w:szCs w:val="21"/>
                <w:highlight w:val="none"/>
              </w:rPr>
            </w:pPr>
            <w:r>
              <w:rPr>
                <w:rFonts w:hint="eastAsia"/>
                <w:color w:val="auto"/>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39450B95">
            <w:pPr>
              <w:pStyle w:val="29"/>
              <w:jc w:val="center"/>
              <w:rPr>
                <w:color w:val="auto"/>
                <w:sz w:val="21"/>
                <w:szCs w:val="21"/>
                <w:highlight w:val="none"/>
              </w:rPr>
            </w:pPr>
            <w:r>
              <w:rPr>
                <w:rFonts w:hint="eastAsia"/>
                <w:color w:val="auto"/>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1B5BF741">
            <w:pPr>
              <w:pStyle w:val="29"/>
              <w:jc w:val="center"/>
              <w:rPr>
                <w:color w:val="auto"/>
                <w:sz w:val="21"/>
                <w:szCs w:val="21"/>
                <w:highlight w:val="none"/>
              </w:rPr>
            </w:pPr>
            <w:r>
              <w:rPr>
                <w:rFonts w:hint="eastAsia"/>
                <w:color w:val="auto"/>
                <w:sz w:val="21"/>
                <w:szCs w:val="21"/>
                <w:highlight w:val="none"/>
              </w:rPr>
              <w:t>备注</w:t>
            </w:r>
          </w:p>
        </w:tc>
      </w:tr>
      <w:tr w14:paraId="3FE52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4EC0B57A">
            <w:pPr>
              <w:pStyle w:val="29"/>
              <w:spacing w:line="360" w:lineRule="auto"/>
              <w:jc w:val="center"/>
              <w:rPr>
                <w:color w:val="auto"/>
                <w:sz w:val="21"/>
                <w:szCs w:val="21"/>
                <w:highlight w:val="none"/>
              </w:rPr>
            </w:pPr>
            <w:r>
              <w:rPr>
                <w:color w:val="auto"/>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14CC30DD">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41689DF">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4EC8181A">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8333BC7">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6035EA2">
            <w:pPr>
              <w:pStyle w:val="29"/>
              <w:spacing w:line="360" w:lineRule="auto"/>
              <w:jc w:val="center"/>
              <w:rPr>
                <w:color w:val="auto"/>
                <w:sz w:val="21"/>
                <w:szCs w:val="21"/>
                <w:highlight w:val="none"/>
              </w:rPr>
            </w:pPr>
          </w:p>
        </w:tc>
      </w:tr>
      <w:tr w14:paraId="56A38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74D763">
            <w:pPr>
              <w:pStyle w:val="29"/>
              <w:spacing w:line="360" w:lineRule="auto"/>
              <w:jc w:val="center"/>
              <w:rPr>
                <w:color w:val="auto"/>
                <w:sz w:val="21"/>
                <w:szCs w:val="21"/>
                <w:highlight w:val="none"/>
              </w:rPr>
            </w:pPr>
            <w:r>
              <w:rPr>
                <w:color w:val="auto"/>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6531647">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5DDD33CA">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68256E95">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22425D9">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5B4CF0C">
            <w:pPr>
              <w:pStyle w:val="29"/>
              <w:spacing w:line="360" w:lineRule="auto"/>
              <w:jc w:val="center"/>
              <w:rPr>
                <w:color w:val="auto"/>
                <w:sz w:val="21"/>
                <w:szCs w:val="21"/>
                <w:highlight w:val="none"/>
              </w:rPr>
            </w:pPr>
          </w:p>
        </w:tc>
      </w:tr>
      <w:tr w14:paraId="3974C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2322DCA">
            <w:pPr>
              <w:pStyle w:val="29"/>
              <w:spacing w:line="360" w:lineRule="auto"/>
              <w:jc w:val="center"/>
              <w:rPr>
                <w:color w:val="auto"/>
                <w:sz w:val="21"/>
                <w:szCs w:val="21"/>
                <w:highlight w:val="none"/>
              </w:rPr>
            </w:pPr>
            <w:r>
              <w:rPr>
                <w:color w:val="auto"/>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157C9AD7">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D992768">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3D011304">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FE2429E">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61875FE">
            <w:pPr>
              <w:pStyle w:val="29"/>
              <w:spacing w:line="360" w:lineRule="auto"/>
              <w:jc w:val="center"/>
              <w:rPr>
                <w:color w:val="auto"/>
                <w:sz w:val="21"/>
                <w:szCs w:val="21"/>
                <w:highlight w:val="none"/>
              </w:rPr>
            </w:pPr>
          </w:p>
        </w:tc>
      </w:tr>
    </w:tbl>
    <w:p w14:paraId="484B9E02">
      <w:pPr>
        <w:pStyle w:val="26"/>
        <w:spacing w:line="400" w:lineRule="exact"/>
        <w:rPr>
          <w:rFonts w:ascii="Times New Roman" w:hAnsi="Times New Roman" w:eastAsia="宋体" w:cs="Times New Roman"/>
          <w:color w:val="auto"/>
          <w:highlight w:val="none"/>
        </w:rPr>
      </w:pPr>
    </w:p>
    <w:p w14:paraId="259039E3">
      <w:pPr>
        <w:pStyle w:val="26"/>
        <w:spacing w:line="40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2B015F08">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B71269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14CA773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640A35F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9EE36E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418D0E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4C69643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D0688F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272B1B8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617A254F">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13F4B1C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5D188DF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7AF80C30">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51AA1A5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798B4F60">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3AF8860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601CB37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19DBAAA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4C5E7C43">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90961D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0021634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7CC703A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FE7D48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0117E9D3">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689B4AF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0E9F53C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205B8944">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229882C6">
            <w:pPr>
              <w:autoSpaceDE w:val="0"/>
              <w:autoSpaceDN w:val="0"/>
              <w:adjustRightInd w:val="0"/>
              <w:spacing w:line="400" w:lineRule="exact"/>
              <w:jc w:val="center"/>
              <w:rPr>
                <w:color w:val="auto"/>
                <w:highlight w:val="none"/>
              </w:rPr>
            </w:pPr>
            <w:r>
              <w:rPr>
                <w:color w:val="auto"/>
                <w:highlight w:val="none"/>
              </w:rPr>
              <w:t>获得认证资质证书</w:t>
            </w:r>
          </w:p>
          <w:p w14:paraId="24D81DA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color w:val="auto"/>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62080E7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4744F67F">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6BAF1B7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类似项目服务情况</w:t>
            </w:r>
          </w:p>
        </w:tc>
      </w:tr>
      <w:tr w14:paraId="182E34A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A95B2A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C8774B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2CA89B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99B67D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0916B7F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工作职责及工作内容</w:t>
            </w:r>
          </w:p>
        </w:tc>
      </w:tr>
      <w:tr w14:paraId="4C47703E">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432A87B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46428B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5074F52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E4F542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9894CAC">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2A6560A8">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724A1FC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CA5CD2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3C2467B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C33D35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F23BAE3">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bl>
    <w:p w14:paraId="3815E429">
      <w:pPr>
        <w:pStyle w:val="12"/>
        <w:rPr>
          <w:color w:val="auto"/>
          <w:highlight w:val="none"/>
        </w:rPr>
      </w:pPr>
    </w:p>
    <w:p w14:paraId="381FD1AC">
      <w:pPr>
        <w:pStyle w:val="12"/>
        <w:rPr>
          <w:color w:val="auto"/>
          <w:highlight w:val="none"/>
        </w:rPr>
      </w:pPr>
    </w:p>
    <w:p w14:paraId="464AFDEC">
      <w:pPr>
        <w:pStyle w:val="26"/>
        <w:spacing w:line="4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注：1.在填写时，如本表格不适合</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的实际情况，可根据本表格式自行划表填写。</w:t>
      </w:r>
    </w:p>
    <w:p w14:paraId="24E310A2">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ascii="Times New Roman" w:hAnsi="Times New Roman" w:eastAsia="宋体" w:cs="Times New Roman"/>
          <w:color w:val="auto"/>
          <w:kern w:val="0"/>
          <w:highlight w:val="none"/>
        </w:rPr>
        <w:t>涉及实施团队</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color w:val="auto"/>
          <w:kern w:val="0"/>
          <w:highlight w:val="none"/>
          <w:lang w:eastAsia="zh-CN"/>
        </w:rPr>
        <w:t>供应商</w:t>
      </w:r>
      <w:r>
        <w:rPr>
          <w:rFonts w:ascii="Times New Roman" w:hAnsi="Times New Roman" w:eastAsia="宋体" w:cs="Times New Roman"/>
          <w:color w:val="auto"/>
          <w:kern w:val="0"/>
          <w:highlight w:val="none"/>
        </w:rPr>
        <w:t>员工，需提供员工劳动合同关键页或</w:t>
      </w:r>
      <w:r>
        <w:rPr>
          <w:rFonts w:hint="eastAsia" w:ascii="Times New Roman" w:hAnsi="Times New Roman" w:eastAsia="宋体" w:cs="Times New Roman"/>
          <w:color w:val="auto"/>
          <w:kern w:val="0"/>
          <w:highlight w:val="none"/>
        </w:rPr>
        <w:t>由</w:t>
      </w:r>
      <w:r>
        <w:rPr>
          <w:rFonts w:hint="eastAsia" w:ascii="Times New Roman" w:hAnsi="Times New Roman" w:eastAsia="宋体" w:cs="Times New Roman"/>
          <w:color w:val="auto"/>
          <w:kern w:val="0"/>
          <w:highlight w:val="none"/>
          <w:lang w:eastAsia="zh-CN"/>
        </w:rPr>
        <w:t>供应商</w:t>
      </w:r>
      <w:r>
        <w:rPr>
          <w:rFonts w:hint="eastAsia" w:ascii="宋体" w:hAnsi="宋体" w:eastAsia="宋体" w:cs="宋体"/>
          <w:color w:val="auto"/>
          <w:highlight w:val="none"/>
          <w:lang w:val="en-US"/>
        </w:rPr>
        <w:t>在</w:t>
      </w:r>
      <w:r>
        <w:rPr>
          <w:rFonts w:hint="eastAsia" w:ascii="宋体" w:hAnsi="宋体" w:eastAsia="宋体" w:cs="宋体"/>
          <w:color w:val="auto"/>
          <w:highlight w:val="none"/>
        </w:rPr>
        <w:t>截</w:t>
      </w:r>
      <w:r>
        <w:rPr>
          <w:rFonts w:hint="eastAsia" w:ascii="宋体" w:hAnsi="宋体" w:eastAsia="宋体" w:cs="宋体"/>
          <w:color w:val="auto"/>
          <w:highlight w:val="none"/>
          <w:lang w:val="en-US"/>
        </w:rPr>
        <w:t>标时间</w:t>
      </w:r>
      <w:r>
        <w:rPr>
          <w:rFonts w:hint="eastAsia" w:ascii="宋体" w:hAnsi="宋体" w:eastAsia="宋体" w:cs="宋体"/>
          <w:color w:val="auto"/>
          <w:highlight w:val="none"/>
        </w:rPr>
        <w:t>前</w:t>
      </w:r>
      <w:r>
        <w:rPr>
          <w:rFonts w:hint="eastAsia" w:ascii="宋体" w:hAnsi="宋体" w:eastAsia="宋体" w:cs="宋体"/>
          <w:color w:val="auto"/>
          <w:highlight w:val="none"/>
          <w:lang w:val="en-US"/>
        </w:rPr>
        <w:t>连续</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个月</w:t>
      </w:r>
      <w:r>
        <w:rPr>
          <w:rFonts w:hint="eastAsia" w:ascii="宋体" w:hAnsi="宋体" w:eastAsia="宋体" w:cs="宋体"/>
          <w:color w:val="auto"/>
          <w:highlight w:val="none"/>
          <w:lang w:val="en-US" w:eastAsia="zh-CN"/>
        </w:rPr>
        <w:t>内任意1个月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highlight w:val="none"/>
          <w:lang w:val="en-US"/>
        </w:rPr>
        <w:t>为其</w:t>
      </w:r>
      <w:r>
        <w:rPr>
          <w:rFonts w:hint="eastAsia" w:ascii="宋体" w:hAnsi="宋体" w:eastAsia="宋体" w:cs="宋体"/>
          <w:color w:val="auto"/>
          <w:highlight w:val="none"/>
        </w:rPr>
        <w:t>缴纳的社保</w:t>
      </w:r>
      <w:r>
        <w:rPr>
          <w:rFonts w:hint="eastAsia" w:ascii="宋体" w:hAnsi="宋体" w:eastAsia="宋体" w:cs="宋体"/>
          <w:color w:val="auto"/>
          <w:highlight w:val="none"/>
          <w:lang w:val="en-US"/>
        </w:rPr>
        <w:t>证明材料</w:t>
      </w:r>
      <w:r>
        <w:rPr>
          <w:rFonts w:hint="eastAsia" w:ascii="宋体" w:hAnsi="宋体" w:eastAsia="宋体" w:cs="宋体"/>
          <w:color w:val="auto"/>
          <w:highlight w:val="none"/>
          <w:lang w:val="en-US" w:eastAsia="zh-CN"/>
        </w:rPr>
        <w:t>复印件</w:t>
      </w:r>
      <w:r>
        <w:rPr>
          <w:rFonts w:hint="eastAsia" w:ascii="宋体" w:hAnsi="宋体" w:eastAsia="宋体" w:cs="宋体"/>
          <w:color w:val="auto"/>
          <w:sz w:val="21"/>
          <w:szCs w:val="21"/>
          <w:highlight w:val="none"/>
          <w:lang w:val="en-US"/>
        </w:rPr>
        <w:t>或劳动合同</w:t>
      </w:r>
      <w:r>
        <w:rPr>
          <w:rFonts w:hint="eastAsia" w:ascii="宋体" w:hAnsi="宋体" w:eastAsia="宋体" w:cs="宋体"/>
          <w:color w:val="auto"/>
          <w:sz w:val="21"/>
          <w:szCs w:val="21"/>
          <w:highlight w:val="none"/>
          <w:lang w:val="en-US" w:eastAsia="zh-CN"/>
        </w:rPr>
        <w:t>复印件</w:t>
      </w:r>
      <w:r>
        <w:rPr>
          <w:rFonts w:ascii="Times New Roman" w:hAnsi="Times New Roman" w:eastAsia="宋体" w:cs="Times New Roman"/>
          <w:color w:val="auto"/>
          <w:kern w:val="0"/>
          <w:highlight w:val="none"/>
        </w:rPr>
        <w:t>并加盖公章）</w:t>
      </w:r>
      <w:r>
        <w:rPr>
          <w:rFonts w:ascii="Times New Roman" w:hAnsi="Times New Roman" w:eastAsia="宋体" w:cs="Times New Roman"/>
          <w:color w:val="auto"/>
          <w:highlight w:val="none"/>
        </w:rPr>
        <w:t>。</w:t>
      </w:r>
    </w:p>
    <w:p w14:paraId="4F00EA81">
      <w:pPr>
        <w:spacing w:line="400" w:lineRule="exact"/>
        <w:rPr>
          <w:color w:val="auto"/>
          <w:highlight w:val="none"/>
        </w:rPr>
      </w:pPr>
    </w:p>
    <w:p w14:paraId="430682C0">
      <w:pPr>
        <w:spacing w:line="400" w:lineRule="exact"/>
        <w:rPr>
          <w:color w:val="auto"/>
          <w:highlight w:val="none"/>
        </w:rPr>
      </w:pPr>
      <w:r>
        <w:rPr>
          <w:rFonts w:hint="eastAsia"/>
          <w:color w:val="auto"/>
          <w:highlight w:val="none"/>
          <w:lang w:eastAsia="zh-CN"/>
        </w:rPr>
        <w:t>供应商</w:t>
      </w:r>
      <w:r>
        <w:rPr>
          <w:color w:val="auto"/>
          <w:highlight w:val="none"/>
        </w:rPr>
        <w:t>（公章）</w:t>
      </w:r>
      <w:r>
        <w:rPr>
          <w:rFonts w:hint="eastAsia"/>
          <w:color w:val="auto"/>
          <w:highlight w:val="none"/>
        </w:rPr>
        <w:t>：</w:t>
      </w:r>
    </w:p>
    <w:p w14:paraId="4BB2CE80">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62B7DCF4">
      <w:pPr>
        <w:pStyle w:val="14"/>
        <w:spacing w:line="400" w:lineRule="exact"/>
        <w:ind w:firstLine="0"/>
        <w:rPr>
          <w:color w:val="auto"/>
          <w:highlight w:val="none"/>
        </w:rPr>
      </w:pPr>
      <w:r>
        <w:rPr>
          <w:color w:val="auto"/>
          <w:highlight w:val="none"/>
        </w:rPr>
        <w:t>日期</w:t>
      </w:r>
      <w:r>
        <w:rPr>
          <w:rFonts w:hint="eastAsia"/>
          <w:color w:val="auto"/>
          <w:highlight w:val="none"/>
        </w:rPr>
        <w:t>：</w:t>
      </w:r>
    </w:p>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14:paraId="0AF9192A">
      <w:pPr>
        <w:rPr>
          <w:b/>
          <w:color w:val="auto"/>
          <w:highlight w:val="none"/>
        </w:rPr>
      </w:pPr>
      <w:r>
        <w:rPr>
          <w:b/>
          <w:color w:val="auto"/>
          <w:highlight w:val="none"/>
        </w:rPr>
        <w:br w:type="page"/>
      </w:r>
      <w:r>
        <w:rPr>
          <w:rFonts w:hint="eastAsia"/>
          <w:b/>
          <w:color w:val="auto"/>
          <w:highlight w:val="none"/>
          <w:lang w:val="en-US" w:eastAsia="zh-CN"/>
        </w:rPr>
        <w:t>9.</w:t>
      </w:r>
      <w:r>
        <w:rPr>
          <w:rFonts w:hint="eastAsia"/>
          <w:b/>
          <w:color w:val="auto"/>
          <w:highlight w:val="none"/>
          <w:lang w:eastAsia="zh-CN"/>
        </w:rPr>
        <w:t>供应商</w:t>
      </w:r>
      <w:r>
        <w:rPr>
          <w:b/>
          <w:color w:val="auto"/>
          <w:highlight w:val="none"/>
        </w:rPr>
        <w:t>退还履约保证金模板（磋商时无需提供，退款时提供，由需求部门递交至集采办进行相应退款）</w:t>
      </w:r>
    </w:p>
    <w:p w14:paraId="607A350E">
      <w:pPr>
        <w:spacing w:line="640" w:lineRule="exact"/>
        <w:jc w:val="center"/>
        <w:rPr>
          <w:rFonts w:eastAsia="小标宋"/>
          <w:bCs/>
          <w:color w:val="auto"/>
          <w:sz w:val="44"/>
          <w:szCs w:val="44"/>
          <w:highlight w:val="none"/>
        </w:rPr>
      </w:pPr>
      <w:r>
        <w:rPr>
          <w:rFonts w:eastAsia="小标宋"/>
          <w:bCs/>
          <w:color w:val="auto"/>
          <w:sz w:val="44"/>
          <w:szCs w:val="44"/>
          <w:highlight w:val="none"/>
        </w:rPr>
        <w:t>退款申请</w:t>
      </w:r>
    </w:p>
    <w:p w14:paraId="07782C85">
      <w:pPr>
        <w:spacing w:line="586" w:lineRule="exact"/>
        <w:ind w:firstLine="640" w:firstLineChars="200"/>
        <w:jc w:val="center"/>
        <w:rPr>
          <w:rFonts w:eastAsia="仿宋_GB2312"/>
          <w:color w:val="auto"/>
          <w:sz w:val="32"/>
          <w:szCs w:val="32"/>
          <w:highlight w:val="none"/>
        </w:rPr>
      </w:pPr>
    </w:p>
    <w:p w14:paraId="0347C95C">
      <w:pPr>
        <w:spacing w:line="586" w:lineRule="exact"/>
        <w:rPr>
          <w:rFonts w:eastAsia="仿宋_GB2312"/>
          <w:color w:val="auto"/>
          <w:sz w:val="32"/>
          <w:szCs w:val="32"/>
          <w:highlight w:val="none"/>
        </w:rPr>
      </w:pPr>
      <w:r>
        <w:rPr>
          <w:rFonts w:eastAsia="仿宋_GB2312"/>
          <w:color w:val="auto"/>
          <w:sz w:val="32"/>
          <w:szCs w:val="32"/>
          <w:highlight w:val="none"/>
        </w:rPr>
        <w:t>桂林银行股份有限公司：</w:t>
      </w:r>
    </w:p>
    <w:p w14:paraId="5DCC065F">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w:t>
      </w:r>
      <w:r>
        <w:rPr>
          <w:rFonts w:eastAsia="仿宋_GB2312"/>
          <w:color w:val="auto"/>
          <w:sz w:val="32"/>
          <w:szCs w:val="32"/>
          <w:highlight w:val="none"/>
        </w:rPr>
        <w:t>于202</w:t>
      </w:r>
      <w:r>
        <w:rPr>
          <w:rFonts w:hint="eastAsia" w:eastAsia="仿宋_GB2312"/>
          <w:color w:val="auto"/>
          <w:sz w:val="32"/>
          <w:szCs w:val="32"/>
          <w:highlight w:val="none"/>
          <w:lang w:val="en-US" w:eastAsia="zh-CN"/>
        </w:rPr>
        <w:t>6</w:t>
      </w:r>
      <w:r>
        <w:rPr>
          <w:rFonts w:eastAsia="仿宋_GB2312"/>
          <w:color w:val="auto"/>
          <w:sz w:val="32"/>
          <w:szCs w:val="32"/>
          <w:highlight w:val="none"/>
        </w:rPr>
        <w:t>年</w:t>
      </w:r>
      <w:r>
        <w:rPr>
          <w:rFonts w:hint="eastAsia" w:eastAsia="仿宋_GB2312"/>
          <w:color w:val="auto"/>
          <w:sz w:val="32"/>
          <w:szCs w:val="32"/>
          <w:highlight w:val="none"/>
          <w:lang w:val="en-US" w:eastAsia="zh-CN"/>
        </w:rPr>
        <w:t>1</w:t>
      </w:r>
      <w:r>
        <w:rPr>
          <w:rFonts w:eastAsia="仿宋_GB2312"/>
          <w:color w:val="auto"/>
          <w:sz w:val="32"/>
          <w:szCs w:val="32"/>
          <w:highlight w:val="none"/>
        </w:rPr>
        <w:t>月</w:t>
      </w:r>
      <w:r>
        <w:rPr>
          <w:rFonts w:hint="eastAsia" w:eastAsia="仿宋_GB2312"/>
          <w:color w:val="auto"/>
          <w:sz w:val="32"/>
          <w:szCs w:val="32"/>
          <w:highlight w:val="none"/>
          <w:lang w:val="en-US" w:eastAsia="zh-CN"/>
        </w:rPr>
        <w:t>29</w:t>
      </w:r>
      <w:r>
        <w:rPr>
          <w:rFonts w:eastAsia="仿宋_GB2312"/>
          <w:color w:val="auto"/>
          <w:sz w:val="32"/>
          <w:szCs w:val="32"/>
          <w:highlight w:val="none"/>
        </w:rPr>
        <w:t>日参加贵行</w:t>
      </w:r>
      <w:r>
        <w:rPr>
          <w:rFonts w:hint="eastAsia" w:eastAsia="仿宋_GB2312"/>
          <w:color w:val="auto"/>
          <w:sz w:val="32"/>
          <w:szCs w:val="32"/>
          <w:highlight w:val="none"/>
        </w:rPr>
        <w:t>中国-东盟金融人工智能服务共享网络节点建设项目</w:t>
      </w:r>
      <w:r>
        <w:rPr>
          <w:rFonts w:eastAsia="仿宋_GB2312"/>
          <w:color w:val="auto"/>
          <w:sz w:val="32"/>
          <w:szCs w:val="32"/>
          <w:highlight w:val="none"/>
        </w:rPr>
        <w:t>（编号：</w:t>
      </w:r>
      <w:r>
        <w:rPr>
          <w:rFonts w:hint="eastAsia" w:eastAsia="仿宋_GB2312"/>
          <w:color w:val="auto"/>
          <w:sz w:val="32"/>
          <w:szCs w:val="32"/>
          <w:highlight w:val="none"/>
        </w:rPr>
        <w:t>GYJC202</w:t>
      </w:r>
      <w:r>
        <w:rPr>
          <w:rFonts w:hint="eastAsia" w:eastAsia="仿宋_GB2312"/>
          <w:color w:val="auto"/>
          <w:sz w:val="32"/>
          <w:szCs w:val="32"/>
          <w:highlight w:val="none"/>
          <w:lang w:val="en-US" w:eastAsia="zh-CN"/>
        </w:rPr>
        <w:t>6</w:t>
      </w:r>
      <w:r>
        <w:rPr>
          <w:rFonts w:hint="eastAsia" w:eastAsia="仿宋_GB2312"/>
          <w:color w:val="auto"/>
          <w:sz w:val="32"/>
          <w:szCs w:val="32"/>
          <w:highlight w:val="none"/>
          <w:lang w:val="en-US" w:eastAsia="zh-CN"/>
        </w:rPr>
        <w:t>014</w:t>
      </w:r>
      <w:r>
        <w:rPr>
          <w:rFonts w:eastAsia="仿宋_GB2312"/>
          <w:color w:val="auto"/>
          <w:sz w:val="32"/>
          <w:szCs w:val="32"/>
          <w:highlight w:val="none"/>
        </w:rPr>
        <w:t>）磋商，该项目由我公司</w:t>
      </w:r>
      <w:r>
        <w:rPr>
          <w:rFonts w:hint="eastAsia" w:eastAsia="仿宋_GB2312"/>
          <w:color w:val="auto"/>
          <w:sz w:val="32"/>
          <w:szCs w:val="32"/>
          <w:highlight w:val="none"/>
        </w:rPr>
        <w:t>（单位）</w:t>
      </w:r>
      <w:r>
        <w:rPr>
          <w:rFonts w:hint="eastAsia" w:eastAsia="仿宋_GB2312"/>
          <w:color w:val="auto"/>
          <w:sz w:val="32"/>
          <w:szCs w:val="32"/>
          <w:highlight w:val="none"/>
          <w:lang w:val="en-US" w:eastAsia="zh-CN"/>
        </w:rPr>
        <w:t>成交</w:t>
      </w:r>
      <w:r>
        <w:rPr>
          <w:rFonts w:eastAsia="仿宋_GB2312"/>
          <w:color w:val="auto"/>
          <w:sz w:val="32"/>
          <w:szCs w:val="32"/>
          <w:highlight w:val="none"/>
        </w:rPr>
        <w:t>，现合同已履行完毕，申请退回我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（单位）履约</w:t>
      </w:r>
      <w:r>
        <w:rPr>
          <w:rFonts w:eastAsia="仿宋_GB2312"/>
          <w:color w:val="auto"/>
          <w:sz w:val="32"/>
          <w:szCs w:val="32"/>
          <w:highlight w:val="none"/>
        </w:rPr>
        <w:t>保证金。</w:t>
      </w:r>
    </w:p>
    <w:p w14:paraId="7B324B9B">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开户名：</w:t>
      </w:r>
      <w:r>
        <w:rPr>
          <w:rFonts w:hint="eastAsia" w:eastAsia="仿宋_GB2312"/>
          <w:color w:val="auto"/>
          <w:sz w:val="32"/>
          <w:szCs w:val="32"/>
          <w:highlight w:val="none"/>
        </w:rPr>
        <w:t>XXXX</w:t>
      </w:r>
      <w:r>
        <w:rPr>
          <w:rFonts w:eastAsia="仿宋_GB2312"/>
          <w:color w:val="auto"/>
          <w:sz w:val="32"/>
          <w:szCs w:val="32"/>
          <w:highlight w:val="none"/>
        </w:rPr>
        <w:t>有限公司</w:t>
      </w:r>
    </w:p>
    <w:p w14:paraId="7CE6376E">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开户银行：</w:t>
      </w:r>
      <w:r>
        <w:rPr>
          <w:rFonts w:hint="eastAsia" w:eastAsia="仿宋_GB2312"/>
          <w:color w:val="auto"/>
          <w:sz w:val="32"/>
          <w:szCs w:val="32"/>
          <w:highlight w:val="none"/>
        </w:rPr>
        <w:t>XXXX</w:t>
      </w:r>
      <w:r>
        <w:rPr>
          <w:rFonts w:eastAsia="仿宋_GB2312"/>
          <w:color w:val="auto"/>
          <w:sz w:val="32"/>
          <w:szCs w:val="32"/>
          <w:highlight w:val="none"/>
        </w:rPr>
        <w:t>支行</w:t>
      </w:r>
    </w:p>
    <w:p w14:paraId="04C56223">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银行帐号：</w:t>
      </w:r>
      <w:r>
        <w:rPr>
          <w:rFonts w:hint="eastAsia" w:eastAsia="仿宋_GB2312"/>
          <w:color w:val="auto"/>
          <w:sz w:val="32"/>
          <w:szCs w:val="32"/>
          <w:highlight w:val="none"/>
        </w:rPr>
        <w:t>XXXX</w:t>
      </w:r>
    </w:p>
    <w:p w14:paraId="0895ABDC">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保证金金额：</w:t>
      </w:r>
      <w:r>
        <w:rPr>
          <w:rFonts w:hint="eastAsia" w:eastAsia="仿宋_GB2312"/>
          <w:color w:val="auto"/>
          <w:sz w:val="32"/>
          <w:szCs w:val="32"/>
          <w:highlight w:val="none"/>
        </w:rPr>
        <w:t>XXXX</w:t>
      </w:r>
      <w:r>
        <w:rPr>
          <w:rFonts w:eastAsia="仿宋_GB2312"/>
          <w:color w:val="auto"/>
          <w:sz w:val="32"/>
          <w:szCs w:val="32"/>
          <w:highlight w:val="none"/>
        </w:rPr>
        <w:t>元整（</w:t>
      </w:r>
      <w:r>
        <w:rPr>
          <w:rFonts w:ascii="Arial" w:hAnsi="Arial" w:eastAsia="仿宋_GB2312" w:cs="Arial"/>
          <w:color w:val="auto"/>
          <w:sz w:val="32"/>
          <w:szCs w:val="32"/>
          <w:highlight w:val="none"/>
        </w:rPr>
        <w:t>¥</w:t>
      </w:r>
      <w:r>
        <w:rPr>
          <w:rFonts w:hint="eastAsia" w:eastAsia="仿宋_GB2312"/>
          <w:color w:val="auto"/>
          <w:sz w:val="32"/>
          <w:szCs w:val="32"/>
          <w:highlight w:val="none"/>
        </w:rPr>
        <w:t>XX.00</w:t>
      </w:r>
      <w:r>
        <w:rPr>
          <w:rFonts w:eastAsia="仿宋_GB2312"/>
          <w:color w:val="auto"/>
          <w:sz w:val="32"/>
          <w:szCs w:val="32"/>
          <w:highlight w:val="none"/>
        </w:rPr>
        <w:t>）</w:t>
      </w:r>
    </w:p>
    <w:p w14:paraId="157CACE0">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纳税人识别号：</w:t>
      </w:r>
    </w:p>
    <w:p w14:paraId="02085531">
      <w:pPr>
        <w:spacing w:line="586" w:lineRule="exact"/>
        <w:ind w:firstLine="640" w:firstLineChars="200"/>
        <w:rPr>
          <w:rFonts w:eastAsia="仿宋_GB2312"/>
          <w:color w:val="auto"/>
          <w:sz w:val="32"/>
          <w:szCs w:val="32"/>
          <w:highlight w:val="none"/>
        </w:rPr>
      </w:pPr>
    </w:p>
    <w:p w14:paraId="435E83F5">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w:t>
      </w:r>
      <w:r>
        <w:rPr>
          <w:rFonts w:hint="eastAsia" w:eastAsia="仿宋_GB2312"/>
          <w:color w:val="auto"/>
          <w:sz w:val="32"/>
          <w:szCs w:val="32"/>
          <w:highlight w:val="none"/>
        </w:rPr>
        <w:t>XXXX</w:t>
      </w:r>
      <w:r>
        <w:rPr>
          <w:rFonts w:eastAsia="仿宋_GB2312"/>
          <w:color w:val="auto"/>
          <w:sz w:val="32"/>
          <w:szCs w:val="32"/>
          <w:highlight w:val="none"/>
        </w:rPr>
        <w:t>公司</w:t>
      </w:r>
      <w:r>
        <w:rPr>
          <w:rFonts w:hint="eastAsia" w:eastAsia="仿宋_GB2312"/>
          <w:color w:val="auto"/>
          <w:sz w:val="32"/>
          <w:szCs w:val="32"/>
          <w:highlight w:val="none"/>
        </w:rPr>
        <w:t xml:space="preserve">（公章）  </w:t>
      </w:r>
    </w:p>
    <w:p w14:paraId="5175EF39">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202</w:t>
      </w:r>
      <w:r>
        <w:rPr>
          <w:rFonts w:hint="eastAsia" w:eastAsia="仿宋_GB2312"/>
          <w:color w:val="auto"/>
          <w:sz w:val="32"/>
          <w:szCs w:val="32"/>
          <w:highlight w:val="none"/>
        </w:rPr>
        <w:t>X</w:t>
      </w:r>
      <w:r>
        <w:rPr>
          <w:rFonts w:eastAsia="仿宋_GB2312"/>
          <w:color w:val="auto"/>
          <w:sz w:val="32"/>
          <w:szCs w:val="32"/>
          <w:highlight w:val="none"/>
        </w:rPr>
        <w:t>年</w:t>
      </w:r>
      <w:r>
        <w:rPr>
          <w:rFonts w:hint="eastAsia" w:eastAsia="仿宋_GB2312"/>
          <w:color w:val="auto"/>
          <w:sz w:val="32"/>
          <w:szCs w:val="32"/>
          <w:highlight w:val="none"/>
        </w:rPr>
        <w:t>XX</w:t>
      </w:r>
      <w:r>
        <w:rPr>
          <w:rFonts w:eastAsia="仿宋_GB2312"/>
          <w:color w:val="auto"/>
          <w:sz w:val="32"/>
          <w:szCs w:val="32"/>
          <w:highlight w:val="none"/>
        </w:rPr>
        <w:t>月</w:t>
      </w:r>
      <w:r>
        <w:rPr>
          <w:rFonts w:hint="eastAsia" w:eastAsia="仿宋_GB2312"/>
          <w:color w:val="auto"/>
          <w:sz w:val="32"/>
          <w:szCs w:val="32"/>
          <w:highlight w:val="none"/>
        </w:rPr>
        <w:t>XX</w:t>
      </w:r>
      <w:r>
        <w:rPr>
          <w:rFonts w:eastAsia="仿宋_GB2312"/>
          <w:color w:val="auto"/>
          <w:sz w:val="32"/>
          <w:szCs w:val="32"/>
          <w:highlight w:val="none"/>
        </w:rPr>
        <w:t>日</w:t>
      </w:r>
      <w:r>
        <w:rPr>
          <w:rFonts w:hint="eastAsia" w:eastAsia="仿宋_GB2312"/>
          <w:color w:val="auto"/>
          <w:sz w:val="32"/>
          <w:szCs w:val="32"/>
          <w:highlight w:val="none"/>
        </w:rPr>
        <w:t xml:space="preserve">    </w:t>
      </w:r>
    </w:p>
    <w:p w14:paraId="48872407">
      <w:pPr>
        <w:spacing w:line="586" w:lineRule="exact"/>
        <w:ind w:firstLine="640" w:firstLineChars="200"/>
        <w:rPr>
          <w:rFonts w:eastAsia="仿宋_GB2312"/>
          <w:color w:val="auto"/>
          <w:sz w:val="32"/>
          <w:szCs w:val="32"/>
          <w:highlight w:val="none"/>
        </w:rPr>
      </w:pPr>
    </w:p>
    <w:p w14:paraId="51A3E193">
      <w:pPr>
        <w:spacing w:line="586" w:lineRule="exact"/>
        <w:ind w:firstLine="420" w:firstLineChars="200"/>
        <w:rPr>
          <w:rFonts w:eastAsia="仿宋_GB2312"/>
          <w:color w:val="auto"/>
          <w:highlight w:val="none"/>
        </w:rPr>
      </w:pPr>
      <w:r>
        <w:rPr>
          <w:rFonts w:eastAsia="仿宋_GB2312"/>
          <w:color w:val="auto"/>
          <w:highlight w:val="none"/>
        </w:rPr>
        <w:t>附件：退款申请、合同</w:t>
      </w:r>
      <w:r>
        <w:rPr>
          <w:rFonts w:hint="eastAsia" w:eastAsia="仿宋_GB2312"/>
          <w:color w:val="auto"/>
          <w:highlight w:val="none"/>
        </w:rPr>
        <w:t>扫描件</w:t>
      </w:r>
      <w:r>
        <w:rPr>
          <w:rFonts w:eastAsia="仿宋_GB2312"/>
          <w:color w:val="auto"/>
          <w:highlight w:val="none"/>
        </w:rPr>
        <w:t>、验收报告</w:t>
      </w:r>
      <w:r>
        <w:rPr>
          <w:rFonts w:hint="eastAsia" w:eastAsia="仿宋_GB2312"/>
          <w:color w:val="auto"/>
          <w:highlight w:val="none"/>
        </w:rPr>
        <w:t>扫描件</w:t>
      </w:r>
      <w:r>
        <w:rPr>
          <w:rFonts w:eastAsia="仿宋_GB2312"/>
          <w:color w:val="auto"/>
          <w:highlight w:val="none"/>
        </w:rPr>
        <w:t>、履约评价</w:t>
      </w:r>
      <w:r>
        <w:rPr>
          <w:rFonts w:hint="eastAsia" w:eastAsia="仿宋_GB2312"/>
          <w:color w:val="auto"/>
          <w:highlight w:val="none"/>
        </w:rPr>
        <w:t>扫描件</w:t>
      </w:r>
      <w:r>
        <w:rPr>
          <w:rFonts w:eastAsia="仿宋_GB2312"/>
          <w:color w:val="auto"/>
          <w:highlight w:val="none"/>
        </w:rPr>
        <w:t>、保证金汇款凭证</w:t>
      </w:r>
      <w:r>
        <w:rPr>
          <w:rFonts w:hint="eastAsia" w:eastAsia="仿宋_GB2312"/>
          <w:color w:val="auto"/>
          <w:highlight w:val="none"/>
        </w:rPr>
        <w:t>扫描件</w:t>
      </w:r>
    </w:p>
    <w:p w14:paraId="394D86C7">
      <w:pPr>
        <w:pStyle w:val="50"/>
        <w:rPr>
          <w:rFonts w:eastAsia="仿宋_GB2312"/>
          <w:color w:val="auto"/>
          <w:highlight w:val="none"/>
        </w:rPr>
      </w:pPr>
    </w:p>
    <w:p w14:paraId="09F1F43B">
      <w:pPr>
        <w:pStyle w:val="50"/>
        <w:rPr>
          <w:rFonts w:eastAsia="仿宋_GB2312"/>
          <w:color w:val="auto"/>
          <w:highlight w:val="none"/>
        </w:rPr>
      </w:pPr>
      <w:r>
        <w:rPr>
          <w:rFonts w:hint="eastAsia" w:eastAsia="仿宋_GB2312"/>
          <w:b/>
          <w:bCs w:val="0"/>
          <w:color w:val="auto"/>
          <w:spacing w:val="0"/>
          <w:highlight w:val="none"/>
        </w:rPr>
        <w:t>注：</w:t>
      </w:r>
      <w:r>
        <w:rPr>
          <w:rFonts w:hint="eastAsia" w:eastAsia="仿宋_GB2312"/>
          <w:color w:val="auto"/>
          <w:spacing w:val="0"/>
          <w:highlight w:val="none"/>
        </w:rPr>
        <w:t>该退款申请按照合同约定退款时间时提供，</w:t>
      </w:r>
      <w:r>
        <w:rPr>
          <w:rFonts w:hint="eastAsia" w:eastAsia="仿宋_GB2312"/>
          <w:color w:val="auto"/>
          <w:spacing w:val="0"/>
          <w:highlight w:val="none"/>
          <w:lang w:eastAsia="zh-CN"/>
        </w:rPr>
        <w:t>竞标</w:t>
      </w:r>
      <w:r>
        <w:rPr>
          <w:rFonts w:hint="eastAsia" w:eastAsia="仿宋_GB2312"/>
          <w:color w:val="auto"/>
          <w:spacing w:val="0"/>
          <w:highlight w:val="none"/>
        </w:rPr>
        <w:t>时无须提供。</w:t>
      </w:r>
    </w:p>
    <w:p w14:paraId="32DAF104">
      <w:pPr>
        <w:pStyle w:val="20"/>
        <w:spacing w:line="586" w:lineRule="exact"/>
        <w:ind w:firstLine="640" w:firstLineChars="200"/>
        <w:rPr>
          <w:rFonts w:eastAsia="仿宋_GB2312"/>
          <w:color w:val="auto"/>
          <w:sz w:val="32"/>
          <w:szCs w:val="32"/>
          <w:highlight w:val="none"/>
        </w:rPr>
      </w:pPr>
    </w:p>
    <w:p w14:paraId="73808E07">
      <w:pPr>
        <w:pStyle w:val="20"/>
        <w:spacing w:line="586" w:lineRule="exact"/>
        <w:ind w:firstLine="640" w:firstLineChars="200"/>
        <w:rPr>
          <w:rFonts w:eastAsia="仿宋_GB2312"/>
          <w:color w:val="auto"/>
          <w:sz w:val="32"/>
          <w:szCs w:val="32"/>
          <w:highlight w:val="none"/>
        </w:rPr>
      </w:pPr>
    </w:p>
    <w:p w14:paraId="19AB10EC">
      <w:pPr>
        <w:pStyle w:val="26"/>
        <w:autoSpaceDE w:val="0"/>
        <w:spacing w:line="400" w:lineRule="exact"/>
        <w:ind w:firstLine="420" w:firstLineChars="200"/>
        <w:rPr>
          <w:rFonts w:ascii="Times New Roman" w:hAnsi="Times New Roman" w:eastAsia="宋体" w:cs="Times New Roman"/>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0BF8C38">
      <w:pPr>
        <w:pStyle w:val="26"/>
        <w:autoSpaceDE w:val="0"/>
        <w:spacing w:line="640" w:lineRule="exact"/>
        <w:jc w:val="center"/>
        <w:rPr>
          <w:rFonts w:ascii="Times New Roman" w:hAnsi="Times New Roman" w:eastAsia="小标宋" w:cs="Times New Roman"/>
          <w:color w:val="auto"/>
          <w:sz w:val="44"/>
          <w:szCs w:val="44"/>
          <w:highlight w:val="none"/>
        </w:rPr>
      </w:pPr>
      <w:r>
        <w:rPr>
          <w:rFonts w:ascii="Times New Roman" w:hAnsi="Times New Roman" w:eastAsia="小标宋" w:cs="Times New Roman"/>
          <w:color w:val="auto"/>
          <w:sz w:val="44"/>
          <w:szCs w:val="44"/>
          <w:highlight w:val="none"/>
        </w:rPr>
        <w:t>最终报价表</w:t>
      </w:r>
    </w:p>
    <w:p w14:paraId="19910842">
      <w:pPr>
        <w:pStyle w:val="12"/>
        <w:spacing w:line="500" w:lineRule="exact"/>
        <w:ind w:left="0"/>
        <w:rPr>
          <w:color w:val="auto"/>
          <w:highlight w:val="none"/>
        </w:rPr>
      </w:pPr>
    </w:p>
    <w:p w14:paraId="3076BCDE">
      <w:pPr>
        <w:pStyle w:val="12"/>
        <w:spacing w:line="500" w:lineRule="exact"/>
        <w:ind w:left="0"/>
        <w:rPr>
          <w:rFonts w:eastAsia="仿宋_GB2312"/>
          <w:color w:val="auto"/>
          <w:sz w:val="32"/>
          <w:szCs w:val="32"/>
          <w:highlight w:val="none"/>
        </w:rPr>
      </w:pPr>
      <w:r>
        <w:rPr>
          <w:rFonts w:hint="eastAsia" w:eastAsia="仿宋_GB2312"/>
          <w:color w:val="auto"/>
          <w:sz w:val="32"/>
          <w:szCs w:val="32"/>
          <w:highlight w:val="none"/>
          <w:lang w:eastAsia="zh-CN"/>
        </w:rPr>
        <w:t>竞标</w:t>
      </w:r>
      <w:r>
        <w:rPr>
          <w:rFonts w:eastAsia="仿宋_GB2312"/>
          <w:color w:val="auto"/>
          <w:sz w:val="32"/>
          <w:szCs w:val="32"/>
          <w:highlight w:val="none"/>
        </w:rPr>
        <w:t>单位名称：</w:t>
      </w:r>
    </w:p>
    <w:p w14:paraId="06A5F327">
      <w:pPr>
        <w:pStyle w:val="12"/>
        <w:spacing w:line="500" w:lineRule="exact"/>
        <w:ind w:left="0"/>
        <w:rPr>
          <w:rFonts w:eastAsia="仿宋_GB2312"/>
          <w:color w:val="auto"/>
          <w:sz w:val="32"/>
          <w:szCs w:val="32"/>
          <w:highlight w:val="none"/>
        </w:rPr>
      </w:pPr>
      <w:r>
        <w:rPr>
          <w:rFonts w:eastAsia="仿宋_GB2312"/>
          <w:color w:val="auto"/>
          <w:sz w:val="32"/>
          <w:szCs w:val="32"/>
          <w:highlight w:val="none"/>
        </w:rPr>
        <w:t>项目名称：</w:t>
      </w:r>
      <w:r>
        <w:rPr>
          <w:rFonts w:hint="eastAsia" w:eastAsia="仿宋_GB2312"/>
          <w:color w:val="auto"/>
          <w:sz w:val="32"/>
          <w:szCs w:val="32"/>
          <w:highlight w:val="none"/>
          <w:lang w:val="en-US" w:eastAsia="zh-CN"/>
        </w:rPr>
        <w:t>桂林银行</w:t>
      </w:r>
      <w:r>
        <w:rPr>
          <w:rFonts w:hint="eastAsia" w:eastAsia="仿宋_GB2312"/>
          <w:color w:val="auto"/>
          <w:spacing w:val="0"/>
          <w:sz w:val="32"/>
          <w:szCs w:val="32"/>
          <w:highlight w:val="none"/>
        </w:rPr>
        <w:t>中国-东盟金融人工智能服务共享网络节点建设项目</w:t>
      </w:r>
      <w:r>
        <w:rPr>
          <w:rFonts w:eastAsia="仿宋_GB2312"/>
          <w:color w:val="auto"/>
          <w:sz w:val="32"/>
          <w:szCs w:val="32"/>
          <w:highlight w:val="none"/>
        </w:rPr>
        <w:t xml:space="preserve"> </w:t>
      </w:r>
    </w:p>
    <w:p w14:paraId="45CCBBDF">
      <w:pPr>
        <w:pStyle w:val="20"/>
        <w:spacing w:after="0" w:line="500" w:lineRule="exact"/>
        <w:rPr>
          <w:rFonts w:hint="default" w:eastAsia="仿宋_GB2312"/>
          <w:color w:val="auto"/>
          <w:sz w:val="32"/>
          <w:szCs w:val="32"/>
          <w:highlight w:val="none"/>
          <w:lang w:val="en-US" w:eastAsia="zh-CN"/>
        </w:rPr>
      </w:pPr>
      <w:r>
        <w:rPr>
          <w:rFonts w:eastAsia="仿宋_GB2312"/>
          <w:color w:val="auto"/>
          <w:sz w:val="32"/>
          <w:szCs w:val="32"/>
          <w:highlight w:val="none"/>
        </w:rPr>
        <w:t>项目编号：GYJC202</w:t>
      </w:r>
      <w:r>
        <w:rPr>
          <w:rFonts w:hint="eastAsia" w:eastAsia="仿宋_GB2312"/>
          <w:color w:val="auto"/>
          <w:sz w:val="32"/>
          <w:szCs w:val="32"/>
          <w:highlight w:val="none"/>
          <w:lang w:val="en-US" w:eastAsia="zh-CN"/>
        </w:rPr>
        <w:t>6</w:t>
      </w:r>
      <w:r>
        <w:rPr>
          <w:rFonts w:hint="eastAsia" w:eastAsia="仿宋_GB2312"/>
          <w:color w:val="auto"/>
          <w:sz w:val="32"/>
          <w:szCs w:val="32"/>
          <w:highlight w:val="none"/>
          <w:lang w:val="en-US" w:eastAsia="zh-CN"/>
        </w:rPr>
        <w:t>014</w:t>
      </w:r>
    </w:p>
    <w:p w14:paraId="48EF1416">
      <w:pPr>
        <w:pStyle w:val="12"/>
        <w:spacing w:line="500" w:lineRule="exact"/>
        <w:ind w:left="0"/>
        <w:rPr>
          <w:rFonts w:eastAsia="仿宋_GB2312"/>
          <w:color w:val="auto"/>
          <w:sz w:val="32"/>
          <w:szCs w:val="32"/>
          <w:highlight w:val="none"/>
        </w:rPr>
      </w:pPr>
      <w:r>
        <w:rPr>
          <w:rFonts w:eastAsia="仿宋_GB2312"/>
          <w:color w:val="auto"/>
          <w:sz w:val="32"/>
          <w:szCs w:val="32"/>
          <w:highlight w:val="none"/>
        </w:rPr>
        <w:t>最终报价</w:t>
      </w:r>
    </w:p>
    <w:p w14:paraId="5AF50A2B">
      <w:pPr>
        <w:spacing w:line="500" w:lineRule="exact"/>
        <w:rPr>
          <w:rFonts w:eastAsia="仿宋_GB2312"/>
          <w:color w:val="auto"/>
          <w:sz w:val="32"/>
          <w:szCs w:val="32"/>
          <w:highlight w:val="none"/>
        </w:rPr>
      </w:pPr>
      <w:r>
        <w:rPr>
          <w:rFonts w:eastAsia="仿宋_GB2312"/>
          <w:color w:val="auto"/>
          <w:sz w:val="32"/>
          <w:szCs w:val="32"/>
          <w:highlight w:val="none"/>
        </w:rPr>
        <w:t>关于</w:t>
      </w:r>
      <w:r>
        <w:rPr>
          <w:rFonts w:hint="eastAsia" w:eastAsia="仿宋_GB2312"/>
          <w:color w:val="auto"/>
          <w:sz w:val="32"/>
          <w:szCs w:val="32"/>
          <w:highlight w:val="none"/>
          <w:lang w:val="en-US" w:eastAsia="zh-CN"/>
        </w:rPr>
        <w:t>桂林银行</w:t>
      </w:r>
      <w:r>
        <w:rPr>
          <w:rFonts w:hint="eastAsia" w:eastAsia="仿宋_GB2312"/>
          <w:color w:val="auto"/>
          <w:sz w:val="32"/>
          <w:szCs w:val="32"/>
          <w:highlight w:val="none"/>
        </w:rPr>
        <w:t>中国-东盟金融人工智能服务共享网络节点建设项目</w:t>
      </w:r>
      <w:r>
        <w:rPr>
          <w:rFonts w:eastAsia="仿宋_GB2312"/>
          <w:color w:val="auto"/>
          <w:sz w:val="32"/>
          <w:szCs w:val="32"/>
          <w:highlight w:val="none"/>
        </w:rPr>
        <w:t>：</w:t>
      </w:r>
    </w:p>
    <w:p w14:paraId="1E172112">
      <w:pPr>
        <w:pStyle w:val="20"/>
        <w:spacing w:after="0"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1.我公司</w:t>
      </w:r>
      <w:r>
        <w:rPr>
          <w:rFonts w:hint="eastAsia" w:eastAsia="仿宋_GB2312"/>
          <w:color w:val="auto"/>
          <w:sz w:val="32"/>
          <w:szCs w:val="32"/>
          <w:highlight w:val="none"/>
        </w:rPr>
        <w:t>（单位）</w:t>
      </w:r>
      <w:r>
        <w:rPr>
          <w:rFonts w:eastAsia="仿宋_GB2312"/>
          <w:color w:val="auto"/>
          <w:sz w:val="32"/>
          <w:szCs w:val="32"/>
          <w:highlight w:val="none"/>
        </w:rPr>
        <w:t>最终报价与原报价一致。</w:t>
      </w:r>
    </w:p>
    <w:p w14:paraId="6D2BB3F3">
      <w:pPr>
        <w:spacing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2.我公司</w:t>
      </w:r>
      <w:r>
        <w:rPr>
          <w:rFonts w:hint="eastAsia" w:eastAsia="仿宋_GB2312"/>
          <w:color w:val="auto"/>
          <w:sz w:val="32"/>
          <w:szCs w:val="32"/>
          <w:highlight w:val="none"/>
        </w:rPr>
        <w:t>（单位）</w:t>
      </w:r>
      <w:r>
        <w:rPr>
          <w:rFonts w:eastAsia="仿宋_GB2312"/>
          <w:color w:val="auto"/>
          <w:sz w:val="32"/>
          <w:szCs w:val="32"/>
          <w:highlight w:val="none"/>
        </w:rPr>
        <w:t>最终报价如下：</w:t>
      </w:r>
    </w:p>
    <w:tbl>
      <w:tblPr>
        <w:tblStyle w:val="42"/>
        <w:tblW w:w="103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9"/>
        <w:gridCol w:w="1444"/>
        <w:gridCol w:w="735"/>
        <w:gridCol w:w="1270"/>
        <w:gridCol w:w="1190"/>
        <w:gridCol w:w="1711"/>
        <w:gridCol w:w="1049"/>
        <w:gridCol w:w="2207"/>
      </w:tblGrid>
      <w:tr w14:paraId="1A3CCF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739" w:type="dxa"/>
            <w:shd w:val="clear" w:color="000000" w:fill="D9D9D9"/>
            <w:noWrap w:val="0"/>
            <w:vAlign w:val="center"/>
          </w:tcPr>
          <w:p w14:paraId="6B2E4B56">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序号</w:t>
            </w:r>
          </w:p>
        </w:tc>
        <w:tc>
          <w:tcPr>
            <w:tcW w:w="1444" w:type="dxa"/>
            <w:shd w:val="clear" w:color="000000" w:fill="D9D9D9"/>
            <w:noWrap w:val="0"/>
            <w:vAlign w:val="center"/>
          </w:tcPr>
          <w:p w14:paraId="6690CFAA">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项目内容</w:t>
            </w:r>
          </w:p>
        </w:tc>
        <w:tc>
          <w:tcPr>
            <w:tcW w:w="735" w:type="dxa"/>
            <w:shd w:val="clear" w:color="000000" w:fill="D9D9D9"/>
            <w:noWrap w:val="0"/>
            <w:vAlign w:val="center"/>
          </w:tcPr>
          <w:p w14:paraId="3A7917F1">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单位</w:t>
            </w:r>
          </w:p>
        </w:tc>
        <w:tc>
          <w:tcPr>
            <w:tcW w:w="1270" w:type="dxa"/>
            <w:shd w:val="clear" w:color="000000" w:fill="D9D9D9"/>
            <w:noWrap w:val="0"/>
            <w:vAlign w:val="center"/>
          </w:tcPr>
          <w:p w14:paraId="21DC9DCC">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预估数量</w:t>
            </w:r>
          </w:p>
        </w:tc>
        <w:tc>
          <w:tcPr>
            <w:tcW w:w="1190" w:type="dxa"/>
            <w:shd w:val="clear" w:color="000000" w:fill="D9D9D9"/>
            <w:noWrap w:val="0"/>
            <w:vAlign w:val="center"/>
          </w:tcPr>
          <w:p w14:paraId="150E8F1C">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单价（元）</w:t>
            </w:r>
          </w:p>
        </w:tc>
        <w:tc>
          <w:tcPr>
            <w:tcW w:w="1711" w:type="dxa"/>
            <w:shd w:val="clear" w:color="000000" w:fill="D9D9D9"/>
            <w:noWrap w:val="0"/>
            <w:vAlign w:val="center"/>
          </w:tcPr>
          <w:p w14:paraId="5826F658">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小计</w:t>
            </w:r>
          </w:p>
        </w:tc>
        <w:tc>
          <w:tcPr>
            <w:tcW w:w="1049" w:type="dxa"/>
            <w:shd w:val="clear" w:color="000000" w:fill="D9D9D9"/>
            <w:noWrap w:val="0"/>
            <w:vAlign w:val="center"/>
          </w:tcPr>
          <w:p w14:paraId="6BC11D24">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备注</w:t>
            </w:r>
          </w:p>
        </w:tc>
        <w:tc>
          <w:tcPr>
            <w:tcW w:w="2207" w:type="dxa"/>
            <w:shd w:val="clear" w:color="000000" w:fill="D9D9D9"/>
            <w:noWrap w:val="0"/>
            <w:vAlign w:val="center"/>
          </w:tcPr>
          <w:p w14:paraId="44378BB0">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最高投标单价（元）</w:t>
            </w:r>
          </w:p>
        </w:tc>
      </w:tr>
      <w:tr w14:paraId="69B654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739" w:type="dxa"/>
            <w:noWrap w:val="0"/>
            <w:vAlign w:val="center"/>
          </w:tcPr>
          <w:p w14:paraId="70A667A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1</w:t>
            </w:r>
          </w:p>
        </w:tc>
        <w:tc>
          <w:tcPr>
            <w:tcW w:w="1444" w:type="dxa"/>
            <w:noWrap w:val="0"/>
            <w:vAlign w:val="center"/>
          </w:tcPr>
          <w:p w14:paraId="162A3769">
            <w:pPr>
              <w:keepNext w:val="0"/>
              <w:keepLines w:val="0"/>
              <w:pageBreakBefore w:val="0"/>
              <w:widowControl/>
              <w:kinsoku/>
              <w:wordWrap/>
              <w:overflowPunct/>
              <w:topLinePunct w:val="0"/>
              <w:bidi w:val="0"/>
              <w:snapToGrid/>
              <w:spacing w:line="380" w:lineRule="exact"/>
              <w:jc w:val="left"/>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算力节点管理平台</w:t>
            </w:r>
          </w:p>
        </w:tc>
        <w:tc>
          <w:tcPr>
            <w:tcW w:w="735" w:type="dxa"/>
            <w:noWrap w:val="0"/>
            <w:vAlign w:val="center"/>
          </w:tcPr>
          <w:p w14:paraId="676A9F9B">
            <w:pPr>
              <w:pStyle w:val="20"/>
              <w:keepNext w:val="0"/>
              <w:keepLines w:val="0"/>
              <w:pageBreakBefore w:val="0"/>
              <w:kinsoku/>
              <w:wordWrap/>
              <w:overflowPunct/>
              <w:topLinePunct w:val="0"/>
              <w:bidi w:val="0"/>
              <w:snapToGrid/>
              <w:spacing w:after="0"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套</w:t>
            </w:r>
          </w:p>
        </w:tc>
        <w:tc>
          <w:tcPr>
            <w:tcW w:w="1270" w:type="dxa"/>
            <w:noWrap w:val="0"/>
            <w:vAlign w:val="center"/>
          </w:tcPr>
          <w:p w14:paraId="195EC3BC">
            <w:pPr>
              <w:pStyle w:val="20"/>
              <w:keepNext w:val="0"/>
              <w:keepLines w:val="0"/>
              <w:pageBreakBefore w:val="0"/>
              <w:tabs>
                <w:tab w:val="left" w:pos="441"/>
              </w:tabs>
              <w:kinsoku/>
              <w:wordWrap/>
              <w:overflowPunct/>
              <w:topLinePunct w:val="0"/>
              <w:bidi w:val="0"/>
              <w:snapToGrid/>
              <w:spacing w:after="0" w:line="380" w:lineRule="exact"/>
              <w:jc w:val="left"/>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ab/>
            </w:r>
            <w:r>
              <w:rPr>
                <w:rFonts w:hint="eastAsia" w:ascii="宋体" w:hAnsi="宋体" w:cs="宋体"/>
                <w:b w:val="0"/>
                <w:bCs w:val="0"/>
                <w:color w:val="auto"/>
                <w:spacing w:val="-1"/>
                <w:kern w:val="2"/>
                <w:sz w:val="21"/>
                <w:szCs w:val="21"/>
                <w:highlight w:val="none"/>
                <w:lang w:val="en-US" w:eastAsia="zh-CN" w:bidi="ar-SA"/>
              </w:rPr>
              <w:t>1</w:t>
            </w:r>
          </w:p>
        </w:tc>
        <w:tc>
          <w:tcPr>
            <w:tcW w:w="1190" w:type="dxa"/>
            <w:noWrap w:val="0"/>
            <w:vAlign w:val="center"/>
          </w:tcPr>
          <w:p w14:paraId="541B2C0E">
            <w:pPr>
              <w:keepNext w:val="0"/>
              <w:keepLines w:val="0"/>
              <w:pageBreakBefore w:val="0"/>
              <w:widowControl/>
              <w:kinsoku/>
              <w:wordWrap/>
              <w:overflowPunct/>
              <w:topLinePunct w:val="0"/>
              <w:bidi w:val="0"/>
              <w:snapToGrid/>
              <w:spacing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p>
        </w:tc>
        <w:tc>
          <w:tcPr>
            <w:tcW w:w="1711" w:type="dxa"/>
            <w:noWrap w:val="0"/>
            <w:vAlign w:val="center"/>
          </w:tcPr>
          <w:p w14:paraId="75D70D6C">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1049" w:type="dxa"/>
            <w:noWrap w:val="0"/>
            <w:vAlign w:val="center"/>
          </w:tcPr>
          <w:p w14:paraId="5E2DA507">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2207" w:type="dxa"/>
            <w:noWrap w:val="0"/>
            <w:vAlign w:val="center"/>
          </w:tcPr>
          <w:p w14:paraId="3E6A3F95">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500000</w:t>
            </w:r>
          </w:p>
        </w:tc>
      </w:tr>
      <w:tr w14:paraId="6222EC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739" w:type="dxa"/>
            <w:noWrap w:val="0"/>
            <w:vAlign w:val="center"/>
          </w:tcPr>
          <w:p w14:paraId="44917A96">
            <w:pPr>
              <w:keepNext w:val="0"/>
              <w:keepLines w:val="0"/>
              <w:pageBreakBefore w:val="0"/>
              <w:widowControl/>
              <w:kinsoku/>
              <w:wordWrap/>
              <w:overflowPunct/>
              <w:topLinePunct w:val="0"/>
              <w:bidi w:val="0"/>
              <w:snapToGrid/>
              <w:spacing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2</w:t>
            </w:r>
          </w:p>
        </w:tc>
        <w:tc>
          <w:tcPr>
            <w:tcW w:w="1444" w:type="dxa"/>
            <w:noWrap w:val="0"/>
            <w:vAlign w:val="center"/>
          </w:tcPr>
          <w:p w14:paraId="265FC6D6">
            <w:pPr>
              <w:keepNext w:val="0"/>
              <w:keepLines w:val="0"/>
              <w:pageBreakBefore w:val="0"/>
              <w:widowControl/>
              <w:kinsoku/>
              <w:wordWrap/>
              <w:overflowPunct/>
              <w:topLinePunct w:val="0"/>
              <w:bidi w:val="0"/>
              <w:snapToGrid/>
              <w:spacing w:line="380" w:lineRule="exact"/>
              <w:jc w:val="left"/>
              <w:textAlignment w:val="auto"/>
              <w:rPr>
                <w:rFonts w:hint="eastAsia" w:ascii="宋体" w:hAnsi="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应用节点管理平台</w:t>
            </w:r>
          </w:p>
        </w:tc>
        <w:tc>
          <w:tcPr>
            <w:tcW w:w="735" w:type="dxa"/>
            <w:noWrap w:val="0"/>
            <w:vAlign w:val="center"/>
          </w:tcPr>
          <w:p w14:paraId="2C70B274">
            <w:pPr>
              <w:pStyle w:val="20"/>
              <w:keepNext w:val="0"/>
              <w:keepLines w:val="0"/>
              <w:pageBreakBefore w:val="0"/>
              <w:kinsoku/>
              <w:wordWrap/>
              <w:overflowPunct/>
              <w:topLinePunct w:val="0"/>
              <w:bidi w:val="0"/>
              <w:snapToGrid/>
              <w:spacing w:after="0" w:line="380" w:lineRule="exact"/>
              <w:jc w:val="center"/>
              <w:textAlignment w:val="auto"/>
              <w:rPr>
                <w:rFonts w:hint="eastAsia" w:ascii="宋体" w:hAnsi="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套</w:t>
            </w:r>
          </w:p>
        </w:tc>
        <w:tc>
          <w:tcPr>
            <w:tcW w:w="1270" w:type="dxa"/>
            <w:noWrap w:val="0"/>
            <w:vAlign w:val="center"/>
          </w:tcPr>
          <w:p w14:paraId="1A3B7809">
            <w:pPr>
              <w:pStyle w:val="20"/>
              <w:keepNext w:val="0"/>
              <w:keepLines w:val="0"/>
              <w:pageBreakBefore w:val="0"/>
              <w:tabs>
                <w:tab w:val="left" w:pos="441"/>
              </w:tabs>
              <w:kinsoku/>
              <w:wordWrap/>
              <w:overflowPunct/>
              <w:topLinePunct w:val="0"/>
              <w:bidi w:val="0"/>
              <w:snapToGrid/>
              <w:spacing w:after="0" w:line="380" w:lineRule="exact"/>
              <w:jc w:val="left"/>
              <w:textAlignment w:val="auto"/>
              <w:rPr>
                <w:rFonts w:hint="default" w:ascii="宋体" w:hAnsi="宋体" w:cs="宋体"/>
                <w:b w:val="0"/>
                <w:bCs w:val="0"/>
                <w:color w:val="auto"/>
                <w:spacing w:val="-1"/>
                <w:kern w:val="2"/>
                <w:sz w:val="21"/>
                <w:szCs w:val="21"/>
                <w:highlight w:val="none"/>
                <w:lang w:val="en-US" w:eastAsia="zh-CN" w:bidi="ar-SA"/>
              </w:rPr>
            </w:pPr>
            <w:r>
              <w:rPr>
                <w:rFonts w:hint="eastAsia" w:ascii="宋体" w:hAnsi="宋体" w:cs="宋体"/>
                <w:b w:val="0"/>
                <w:bCs w:val="0"/>
                <w:color w:val="auto"/>
                <w:spacing w:val="-1"/>
                <w:kern w:val="2"/>
                <w:sz w:val="21"/>
                <w:szCs w:val="21"/>
                <w:highlight w:val="none"/>
                <w:lang w:val="en-US" w:eastAsia="zh-CN" w:bidi="ar-SA"/>
              </w:rPr>
              <w:tab/>
            </w:r>
            <w:r>
              <w:rPr>
                <w:rFonts w:hint="eastAsia" w:ascii="宋体" w:hAnsi="宋体" w:cs="宋体"/>
                <w:b w:val="0"/>
                <w:bCs w:val="0"/>
                <w:color w:val="auto"/>
                <w:spacing w:val="-1"/>
                <w:kern w:val="2"/>
                <w:sz w:val="21"/>
                <w:szCs w:val="21"/>
                <w:highlight w:val="none"/>
                <w:lang w:val="en-US" w:eastAsia="zh-CN" w:bidi="ar-SA"/>
              </w:rPr>
              <w:t>1</w:t>
            </w:r>
          </w:p>
        </w:tc>
        <w:tc>
          <w:tcPr>
            <w:tcW w:w="1190" w:type="dxa"/>
            <w:noWrap w:val="0"/>
            <w:vAlign w:val="center"/>
          </w:tcPr>
          <w:p w14:paraId="13190D4F">
            <w:pPr>
              <w:keepNext w:val="0"/>
              <w:keepLines w:val="0"/>
              <w:pageBreakBefore w:val="0"/>
              <w:widowControl/>
              <w:kinsoku/>
              <w:wordWrap/>
              <w:overflowPunct/>
              <w:topLinePunct w:val="0"/>
              <w:bidi w:val="0"/>
              <w:snapToGrid/>
              <w:spacing w:line="380" w:lineRule="exact"/>
              <w:jc w:val="center"/>
              <w:textAlignment w:val="auto"/>
              <w:rPr>
                <w:rFonts w:hint="default" w:ascii="宋体" w:hAnsi="宋体" w:eastAsia="宋体" w:cs="宋体"/>
                <w:b w:val="0"/>
                <w:bCs w:val="0"/>
                <w:color w:val="auto"/>
                <w:spacing w:val="-1"/>
                <w:kern w:val="2"/>
                <w:sz w:val="21"/>
                <w:szCs w:val="21"/>
                <w:highlight w:val="none"/>
                <w:lang w:val="en-US" w:eastAsia="zh-CN" w:bidi="ar-SA"/>
              </w:rPr>
            </w:pPr>
          </w:p>
        </w:tc>
        <w:tc>
          <w:tcPr>
            <w:tcW w:w="1711" w:type="dxa"/>
            <w:noWrap w:val="0"/>
            <w:vAlign w:val="center"/>
          </w:tcPr>
          <w:p w14:paraId="32BB792E">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1049" w:type="dxa"/>
            <w:noWrap w:val="0"/>
            <w:vAlign w:val="center"/>
          </w:tcPr>
          <w:p w14:paraId="6317156A">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p>
        </w:tc>
        <w:tc>
          <w:tcPr>
            <w:tcW w:w="2207" w:type="dxa"/>
            <w:noWrap w:val="0"/>
            <w:vAlign w:val="center"/>
          </w:tcPr>
          <w:p w14:paraId="2CE82260">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250000</w:t>
            </w:r>
          </w:p>
        </w:tc>
      </w:tr>
      <w:tr w14:paraId="0E504B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183" w:type="dxa"/>
            <w:gridSpan w:val="2"/>
            <w:noWrap w:val="0"/>
            <w:vAlign w:val="center"/>
          </w:tcPr>
          <w:p w14:paraId="2860ADF0">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合  计</w:t>
            </w:r>
          </w:p>
        </w:tc>
        <w:tc>
          <w:tcPr>
            <w:tcW w:w="8162" w:type="dxa"/>
            <w:gridSpan w:val="6"/>
            <w:noWrap w:val="0"/>
            <w:vAlign w:val="center"/>
          </w:tcPr>
          <w:p w14:paraId="154AB9D7">
            <w:pPr>
              <w:keepNext w:val="0"/>
              <w:keepLines w:val="0"/>
              <w:pageBreakBefore w:val="0"/>
              <w:widowControl/>
              <w:kinsoku/>
              <w:wordWrap/>
              <w:overflowPunct/>
              <w:topLinePunct w:val="0"/>
              <w:bidi w:val="0"/>
              <w:snapToGrid/>
              <w:spacing w:line="380" w:lineRule="exact"/>
              <w:jc w:val="both"/>
              <w:textAlignment w:val="auto"/>
              <w:rPr>
                <w:rFonts w:hint="eastAsia"/>
                <w:color w:val="auto"/>
                <w:highlight w:val="none"/>
                <w:lang w:val="en-US" w:eastAsia="zh-CN"/>
              </w:rPr>
            </w:pPr>
            <w:r>
              <w:rPr>
                <w:rFonts w:hint="eastAsia" w:ascii="宋体" w:hAnsi="宋体" w:eastAsia="宋体" w:cs="宋体"/>
                <w:b w:val="0"/>
                <w:bCs w:val="0"/>
                <w:color w:val="auto"/>
                <w:spacing w:val="-1"/>
                <w:kern w:val="2"/>
                <w:sz w:val="21"/>
                <w:szCs w:val="21"/>
                <w:highlight w:val="none"/>
                <w:lang w:val="en-US" w:eastAsia="zh-CN" w:bidi="ar-SA"/>
              </w:rPr>
              <w:t>小写：¥                  （大写：人民币          ）</w:t>
            </w:r>
          </w:p>
        </w:tc>
      </w:tr>
      <w:tr w14:paraId="122618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183" w:type="dxa"/>
            <w:gridSpan w:val="2"/>
            <w:noWrap w:val="0"/>
            <w:vAlign w:val="center"/>
          </w:tcPr>
          <w:p w14:paraId="4EC535B0">
            <w:pPr>
              <w:keepNext w:val="0"/>
              <w:keepLines w:val="0"/>
              <w:pageBreakBefore w:val="0"/>
              <w:widowControl/>
              <w:kinsoku/>
              <w:wordWrap/>
              <w:overflowPunct/>
              <w:topLinePunct w:val="0"/>
              <w:bidi w:val="0"/>
              <w:snapToGrid/>
              <w:spacing w:line="380" w:lineRule="exact"/>
              <w:jc w:val="center"/>
              <w:textAlignment w:val="auto"/>
              <w:rPr>
                <w:rFonts w:hint="default"/>
                <w:color w:val="auto"/>
                <w:highlight w:val="none"/>
                <w:lang w:val="en-US" w:eastAsia="zh-CN"/>
              </w:rPr>
            </w:pPr>
            <w:r>
              <w:rPr>
                <w:rFonts w:hint="eastAsia"/>
                <w:color w:val="auto"/>
                <w:highlight w:val="none"/>
                <w:lang w:val="en-US" w:eastAsia="zh-CN"/>
              </w:rPr>
              <w:t>免费维保期</w:t>
            </w:r>
          </w:p>
        </w:tc>
        <w:tc>
          <w:tcPr>
            <w:tcW w:w="8162" w:type="dxa"/>
            <w:gridSpan w:val="6"/>
            <w:noWrap w:val="0"/>
            <w:vAlign w:val="center"/>
          </w:tcPr>
          <w:p w14:paraId="00C587AB">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color w:val="auto"/>
                <w:highlight w:val="none"/>
                <w:u w:val="single"/>
                <w:lang w:val="en-US" w:eastAsia="zh-CN"/>
              </w:rPr>
            </w:pPr>
            <w:r>
              <w:rPr>
                <w:rFonts w:hint="eastAsia"/>
                <w:color w:val="auto"/>
                <w:highlight w:val="none"/>
                <w:lang w:val="en-US" w:eastAsia="zh-CN"/>
              </w:rPr>
              <w:t xml:space="preserve">   </w:t>
            </w:r>
            <w:r>
              <w:rPr>
                <w:rFonts w:hint="eastAsia"/>
                <w:color w:val="auto"/>
                <w:highlight w:val="none"/>
                <w:u w:val="single"/>
                <w:lang w:val="en-US" w:eastAsia="zh-CN"/>
              </w:rPr>
              <w:t xml:space="preserve">    年</w:t>
            </w:r>
          </w:p>
        </w:tc>
      </w:tr>
      <w:tr w14:paraId="3C3E45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4" w:hRule="atLeast"/>
          <w:jc w:val="center"/>
        </w:trPr>
        <w:tc>
          <w:tcPr>
            <w:tcW w:w="2183" w:type="dxa"/>
            <w:gridSpan w:val="2"/>
            <w:noWrap w:val="0"/>
            <w:vAlign w:val="center"/>
          </w:tcPr>
          <w:p w14:paraId="01D911B8">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color w:val="auto"/>
                <w:highlight w:val="none"/>
                <w:lang w:val="en-US" w:eastAsia="zh-CN"/>
              </w:rPr>
              <w:t>免费维保期后维保费率（%）</w:t>
            </w:r>
          </w:p>
        </w:tc>
        <w:tc>
          <w:tcPr>
            <w:tcW w:w="8162" w:type="dxa"/>
            <w:gridSpan w:val="6"/>
            <w:noWrap w:val="0"/>
            <w:vAlign w:val="center"/>
          </w:tcPr>
          <w:p w14:paraId="116AE0AC">
            <w:pPr>
              <w:pStyle w:val="41"/>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auto"/>
                <w:highlight w:val="none"/>
                <w:lang w:val="en-US" w:eastAsia="zh-CN"/>
              </w:rPr>
            </w:pPr>
          </w:p>
        </w:tc>
      </w:tr>
      <w:tr w14:paraId="46E129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2183" w:type="dxa"/>
            <w:gridSpan w:val="2"/>
            <w:noWrap w:val="0"/>
            <w:vAlign w:val="center"/>
          </w:tcPr>
          <w:p w14:paraId="49875BE9">
            <w:pPr>
              <w:keepNext w:val="0"/>
              <w:keepLines w:val="0"/>
              <w:pageBreakBefore w:val="0"/>
              <w:widowControl/>
              <w:kinsoku/>
              <w:wordWrap/>
              <w:overflowPunct/>
              <w:topLinePunct w:val="0"/>
              <w:bidi w:val="0"/>
              <w:snapToGrid/>
              <w:spacing w:line="380" w:lineRule="exact"/>
              <w:jc w:val="center"/>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val="0"/>
                <w:bCs w:val="0"/>
                <w:color w:val="auto"/>
                <w:spacing w:val="-1"/>
                <w:kern w:val="2"/>
                <w:sz w:val="21"/>
                <w:szCs w:val="21"/>
                <w:highlight w:val="none"/>
                <w:lang w:val="en-US" w:eastAsia="zh-CN" w:bidi="ar-SA"/>
              </w:rPr>
              <w:t>其  他</w:t>
            </w:r>
          </w:p>
        </w:tc>
        <w:tc>
          <w:tcPr>
            <w:tcW w:w="8162" w:type="dxa"/>
            <w:gridSpan w:val="6"/>
            <w:noWrap w:val="0"/>
            <w:vAlign w:val="center"/>
          </w:tcPr>
          <w:p w14:paraId="3139F28C">
            <w:pPr>
              <w:keepNext w:val="0"/>
              <w:keepLines w:val="0"/>
              <w:pageBreakBefore w:val="0"/>
              <w:widowControl/>
              <w:kinsoku/>
              <w:wordWrap/>
              <w:overflowPunct/>
              <w:topLinePunct w:val="0"/>
              <w:bidi w:val="0"/>
              <w:snapToGrid/>
              <w:spacing w:line="380" w:lineRule="exact"/>
              <w:jc w:val="left"/>
              <w:textAlignment w:val="auto"/>
              <w:rPr>
                <w:rFonts w:hint="eastAsia" w:ascii="宋体" w:hAnsi="宋体" w:eastAsia="宋体" w:cs="宋体"/>
                <w:b w:val="0"/>
                <w:bCs w:val="0"/>
                <w:color w:val="auto"/>
                <w:spacing w:val="-1"/>
                <w:kern w:val="2"/>
                <w:sz w:val="21"/>
                <w:szCs w:val="21"/>
                <w:highlight w:val="none"/>
                <w:lang w:val="en-US" w:eastAsia="zh-CN" w:bidi="ar-SA"/>
              </w:rPr>
            </w:pPr>
          </w:p>
        </w:tc>
      </w:tr>
    </w:tbl>
    <w:p w14:paraId="51FD7D0D">
      <w:pPr>
        <w:tabs>
          <w:tab w:val="left" w:pos="6725"/>
        </w:tabs>
        <w:spacing w:line="586" w:lineRule="exact"/>
        <w:rPr>
          <w:color w:val="auto"/>
          <w:highlight w:val="none"/>
        </w:rPr>
      </w:pPr>
    </w:p>
    <w:p w14:paraId="0FA96E83">
      <w:pPr>
        <w:tabs>
          <w:tab w:val="left" w:pos="6725"/>
        </w:tabs>
        <w:spacing w:line="586" w:lineRule="exact"/>
        <w:rPr>
          <w:color w:val="auto"/>
          <w:highlight w:val="non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                             报价时间：</w:t>
      </w:r>
    </w:p>
    <w:p w14:paraId="7980AA1B">
      <w:pPr>
        <w:pStyle w:val="51"/>
        <w:rPr>
          <w:rFonts w:ascii="Times New Roman" w:hAnsi="Times New Roman" w:cs="Times New Roman"/>
          <w:b/>
          <w:bCs/>
          <w:color w:val="auto"/>
          <w:kern w:val="2"/>
          <w:sz w:val="21"/>
          <w:szCs w:val="21"/>
          <w:highlight w:val="none"/>
        </w:rPr>
      </w:pPr>
    </w:p>
    <w:p w14:paraId="1D3AF8B9">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0F8D90B6">
      <w:pPr>
        <w:pStyle w:val="51"/>
        <w:rPr>
          <w:color w:val="auto"/>
          <w:highlight w:val="none"/>
        </w:rPr>
      </w:pPr>
    </w:p>
    <w:p w14:paraId="5387410C">
      <w:pPr>
        <w:pStyle w:val="52"/>
        <w:rPr>
          <w:color w:val="auto"/>
          <w:highlight w:val="none"/>
        </w:rPr>
      </w:pPr>
    </w:p>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FD55">
    <w:pPr>
      <w:pStyle w:val="3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A8A937">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7CA8A937">
                    <w:pPr>
                      <w:pStyle w:val="30"/>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1F392">
    <w:pPr>
      <w:pStyle w:val="30"/>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6A6A55B">
                          <w:pPr>
                            <w:pStyle w:val="30"/>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66A6A55B">
                    <w:pPr>
                      <w:pStyle w:val="30"/>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7A20">
    <w:pPr>
      <w:pStyle w:val="30"/>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62923B9">
                          <w:pPr>
                            <w:pStyle w:val="30"/>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062923B9">
                    <w:pPr>
                      <w:pStyle w:val="30"/>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0BC2">
    <w:pPr>
      <w:pStyle w:val="30"/>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71F456">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871F456">
                    <w:pPr>
                      <w:pStyle w:val="3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66A44">
    <w:pPr>
      <w:pStyle w:val="31"/>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1D2AF">
    <w:pPr>
      <w:pStyle w:val="31"/>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C5D5">
    <w:pPr>
      <w:pStyle w:val="31"/>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3"/>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341C5A"/>
    <w:rsid w:val="02485D4E"/>
    <w:rsid w:val="024C4930"/>
    <w:rsid w:val="027D1F56"/>
    <w:rsid w:val="02C957D1"/>
    <w:rsid w:val="02D33B93"/>
    <w:rsid w:val="02DF4869"/>
    <w:rsid w:val="03191E04"/>
    <w:rsid w:val="039B7A34"/>
    <w:rsid w:val="03B633EB"/>
    <w:rsid w:val="03BB5C30"/>
    <w:rsid w:val="03E312C3"/>
    <w:rsid w:val="0429522B"/>
    <w:rsid w:val="043C7EC9"/>
    <w:rsid w:val="046D615C"/>
    <w:rsid w:val="04B4532A"/>
    <w:rsid w:val="04EC3F5D"/>
    <w:rsid w:val="050F525C"/>
    <w:rsid w:val="051E2A19"/>
    <w:rsid w:val="05AA0491"/>
    <w:rsid w:val="062737D8"/>
    <w:rsid w:val="063A75FA"/>
    <w:rsid w:val="063B4AA5"/>
    <w:rsid w:val="065F230A"/>
    <w:rsid w:val="07372F85"/>
    <w:rsid w:val="07E30794"/>
    <w:rsid w:val="07E63896"/>
    <w:rsid w:val="08007BC4"/>
    <w:rsid w:val="08023860"/>
    <w:rsid w:val="08212C01"/>
    <w:rsid w:val="083225F0"/>
    <w:rsid w:val="087A4FD1"/>
    <w:rsid w:val="089F2BC6"/>
    <w:rsid w:val="08BC2A1A"/>
    <w:rsid w:val="08DB6D5C"/>
    <w:rsid w:val="08E41D65"/>
    <w:rsid w:val="090B25A2"/>
    <w:rsid w:val="091F61B3"/>
    <w:rsid w:val="094E43EF"/>
    <w:rsid w:val="09905E0D"/>
    <w:rsid w:val="09A75694"/>
    <w:rsid w:val="09BF04C1"/>
    <w:rsid w:val="09CC0C15"/>
    <w:rsid w:val="09D634BD"/>
    <w:rsid w:val="09E70EF3"/>
    <w:rsid w:val="0A041D68"/>
    <w:rsid w:val="0A2E773B"/>
    <w:rsid w:val="0A7F3A7F"/>
    <w:rsid w:val="0AB212CD"/>
    <w:rsid w:val="0AF0023C"/>
    <w:rsid w:val="0B28609B"/>
    <w:rsid w:val="0B485165"/>
    <w:rsid w:val="0B64514E"/>
    <w:rsid w:val="0B6B4796"/>
    <w:rsid w:val="0BAC7952"/>
    <w:rsid w:val="0C622CD2"/>
    <w:rsid w:val="0C7968A4"/>
    <w:rsid w:val="0D38144C"/>
    <w:rsid w:val="0D606D38"/>
    <w:rsid w:val="0DA54883"/>
    <w:rsid w:val="0DCF5371"/>
    <w:rsid w:val="0DD91F2A"/>
    <w:rsid w:val="0DE719D0"/>
    <w:rsid w:val="0E15484D"/>
    <w:rsid w:val="0E58749B"/>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B3441B"/>
    <w:rsid w:val="10D149D6"/>
    <w:rsid w:val="11021C58"/>
    <w:rsid w:val="111F62D1"/>
    <w:rsid w:val="11323BF4"/>
    <w:rsid w:val="11390A21"/>
    <w:rsid w:val="11481909"/>
    <w:rsid w:val="117A57CA"/>
    <w:rsid w:val="118446B3"/>
    <w:rsid w:val="11907E45"/>
    <w:rsid w:val="1191743C"/>
    <w:rsid w:val="11A974DE"/>
    <w:rsid w:val="11AA727D"/>
    <w:rsid w:val="11F36D9B"/>
    <w:rsid w:val="12964A86"/>
    <w:rsid w:val="1337166D"/>
    <w:rsid w:val="133B0F04"/>
    <w:rsid w:val="13571760"/>
    <w:rsid w:val="13752161"/>
    <w:rsid w:val="138D2FB7"/>
    <w:rsid w:val="13BD65BB"/>
    <w:rsid w:val="1427419B"/>
    <w:rsid w:val="146F3700"/>
    <w:rsid w:val="14775E4A"/>
    <w:rsid w:val="14DF775A"/>
    <w:rsid w:val="15165984"/>
    <w:rsid w:val="154720C6"/>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36FB9"/>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CED00FC"/>
    <w:rsid w:val="1D0048A3"/>
    <w:rsid w:val="1D0609AB"/>
    <w:rsid w:val="1D227154"/>
    <w:rsid w:val="1D305D3E"/>
    <w:rsid w:val="1DB757DB"/>
    <w:rsid w:val="1DFF5E2B"/>
    <w:rsid w:val="1E1C35EE"/>
    <w:rsid w:val="1E384BD6"/>
    <w:rsid w:val="1E4E53A9"/>
    <w:rsid w:val="1E7B2211"/>
    <w:rsid w:val="1E87344B"/>
    <w:rsid w:val="1F171A10"/>
    <w:rsid w:val="1F764C8E"/>
    <w:rsid w:val="1FBA4015"/>
    <w:rsid w:val="201568DC"/>
    <w:rsid w:val="202366CA"/>
    <w:rsid w:val="20D91F25"/>
    <w:rsid w:val="20E651AE"/>
    <w:rsid w:val="20EC3F40"/>
    <w:rsid w:val="212E607E"/>
    <w:rsid w:val="21A842C7"/>
    <w:rsid w:val="21EF4280"/>
    <w:rsid w:val="220F6F4A"/>
    <w:rsid w:val="221D0E35"/>
    <w:rsid w:val="224E322A"/>
    <w:rsid w:val="225F2DF6"/>
    <w:rsid w:val="22734A4D"/>
    <w:rsid w:val="22785881"/>
    <w:rsid w:val="22E14D8C"/>
    <w:rsid w:val="22F57EC0"/>
    <w:rsid w:val="23175156"/>
    <w:rsid w:val="231E6449"/>
    <w:rsid w:val="233550AC"/>
    <w:rsid w:val="234838C5"/>
    <w:rsid w:val="236F176F"/>
    <w:rsid w:val="237E534A"/>
    <w:rsid w:val="23942ECE"/>
    <w:rsid w:val="23CB53CB"/>
    <w:rsid w:val="240D4A36"/>
    <w:rsid w:val="2420637E"/>
    <w:rsid w:val="24514AC4"/>
    <w:rsid w:val="248145CE"/>
    <w:rsid w:val="24C56914"/>
    <w:rsid w:val="24D9703C"/>
    <w:rsid w:val="24FD6EB0"/>
    <w:rsid w:val="251D58C0"/>
    <w:rsid w:val="251E1338"/>
    <w:rsid w:val="25593F53"/>
    <w:rsid w:val="256061CD"/>
    <w:rsid w:val="260C78DC"/>
    <w:rsid w:val="26286440"/>
    <w:rsid w:val="26C40C62"/>
    <w:rsid w:val="273346AC"/>
    <w:rsid w:val="2759419E"/>
    <w:rsid w:val="278B357E"/>
    <w:rsid w:val="27C47FCA"/>
    <w:rsid w:val="27CD0A06"/>
    <w:rsid w:val="27E0459D"/>
    <w:rsid w:val="281370D7"/>
    <w:rsid w:val="2867189C"/>
    <w:rsid w:val="28B2562D"/>
    <w:rsid w:val="28CB6FE9"/>
    <w:rsid w:val="291702E3"/>
    <w:rsid w:val="294E0184"/>
    <w:rsid w:val="297D46EA"/>
    <w:rsid w:val="29BF6609"/>
    <w:rsid w:val="29EE4236"/>
    <w:rsid w:val="2A107EA1"/>
    <w:rsid w:val="2A18065E"/>
    <w:rsid w:val="2A18434F"/>
    <w:rsid w:val="2A7C419E"/>
    <w:rsid w:val="2ABC4CA9"/>
    <w:rsid w:val="2ACD4C7D"/>
    <w:rsid w:val="2AEA7828"/>
    <w:rsid w:val="2C1906B6"/>
    <w:rsid w:val="2C6E4518"/>
    <w:rsid w:val="2C712558"/>
    <w:rsid w:val="2C74148F"/>
    <w:rsid w:val="2C9420DE"/>
    <w:rsid w:val="2CDC3F4A"/>
    <w:rsid w:val="2D3078CE"/>
    <w:rsid w:val="2D825884"/>
    <w:rsid w:val="2D840AC3"/>
    <w:rsid w:val="2E172C16"/>
    <w:rsid w:val="2E192583"/>
    <w:rsid w:val="2E917373"/>
    <w:rsid w:val="2EA803AD"/>
    <w:rsid w:val="2F093C75"/>
    <w:rsid w:val="2F5B483E"/>
    <w:rsid w:val="2FDC068C"/>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00C7B"/>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5E825E5"/>
    <w:rsid w:val="35EC364C"/>
    <w:rsid w:val="363975E0"/>
    <w:rsid w:val="364527D0"/>
    <w:rsid w:val="3682654A"/>
    <w:rsid w:val="369B3F26"/>
    <w:rsid w:val="36A83D73"/>
    <w:rsid w:val="36B61B97"/>
    <w:rsid w:val="36C66B82"/>
    <w:rsid w:val="36E4544E"/>
    <w:rsid w:val="36E82648"/>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F5D4C"/>
    <w:rsid w:val="39EF4084"/>
    <w:rsid w:val="3A4244AD"/>
    <w:rsid w:val="3A600059"/>
    <w:rsid w:val="3A8B3A41"/>
    <w:rsid w:val="3ACE3441"/>
    <w:rsid w:val="3ACF57C1"/>
    <w:rsid w:val="3AD52C84"/>
    <w:rsid w:val="3AFB17A0"/>
    <w:rsid w:val="3B6829F2"/>
    <w:rsid w:val="3BA43B72"/>
    <w:rsid w:val="3BA577BF"/>
    <w:rsid w:val="3BC336ED"/>
    <w:rsid w:val="3BC66FE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A84C1E"/>
    <w:rsid w:val="3EB132F4"/>
    <w:rsid w:val="3EEB00F2"/>
    <w:rsid w:val="3F25044D"/>
    <w:rsid w:val="3F650B47"/>
    <w:rsid w:val="3F711DF9"/>
    <w:rsid w:val="3F9635F1"/>
    <w:rsid w:val="3FB629DB"/>
    <w:rsid w:val="3FF259EA"/>
    <w:rsid w:val="402933F7"/>
    <w:rsid w:val="408C466F"/>
    <w:rsid w:val="40DD4B1E"/>
    <w:rsid w:val="411836EE"/>
    <w:rsid w:val="417F43AF"/>
    <w:rsid w:val="419D6054"/>
    <w:rsid w:val="41F46FEA"/>
    <w:rsid w:val="42012F26"/>
    <w:rsid w:val="42551627"/>
    <w:rsid w:val="42760E9B"/>
    <w:rsid w:val="42A64D86"/>
    <w:rsid w:val="42B45D29"/>
    <w:rsid w:val="42D86C2D"/>
    <w:rsid w:val="42F90DD2"/>
    <w:rsid w:val="42FB7B44"/>
    <w:rsid w:val="430A4CCE"/>
    <w:rsid w:val="43287A2A"/>
    <w:rsid w:val="43450D45"/>
    <w:rsid w:val="4352432F"/>
    <w:rsid w:val="435C03E0"/>
    <w:rsid w:val="43735ECA"/>
    <w:rsid w:val="437563B2"/>
    <w:rsid w:val="43771580"/>
    <w:rsid w:val="4381206A"/>
    <w:rsid w:val="43875945"/>
    <w:rsid w:val="43A76ABB"/>
    <w:rsid w:val="43F40443"/>
    <w:rsid w:val="44201F89"/>
    <w:rsid w:val="445A47A6"/>
    <w:rsid w:val="4476177F"/>
    <w:rsid w:val="44765B87"/>
    <w:rsid w:val="44A94D63"/>
    <w:rsid w:val="44B82FFE"/>
    <w:rsid w:val="44D0516F"/>
    <w:rsid w:val="453D4382"/>
    <w:rsid w:val="45657B4D"/>
    <w:rsid w:val="45782515"/>
    <w:rsid w:val="45A13E49"/>
    <w:rsid w:val="45A303DF"/>
    <w:rsid w:val="45F66478"/>
    <w:rsid w:val="462831F5"/>
    <w:rsid w:val="465874DC"/>
    <w:rsid w:val="468764DD"/>
    <w:rsid w:val="46B0173E"/>
    <w:rsid w:val="46B45E61"/>
    <w:rsid w:val="47847600"/>
    <w:rsid w:val="478B2290"/>
    <w:rsid w:val="478F6349"/>
    <w:rsid w:val="482C1D16"/>
    <w:rsid w:val="4838618F"/>
    <w:rsid w:val="48B34F1E"/>
    <w:rsid w:val="48E206AA"/>
    <w:rsid w:val="48EF0448"/>
    <w:rsid w:val="4A0B01E7"/>
    <w:rsid w:val="4A147F9F"/>
    <w:rsid w:val="4A1A38BC"/>
    <w:rsid w:val="4A2819DA"/>
    <w:rsid w:val="4A2E5242"/>
    <w:rsid w:val="4A5D207C"/>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DB91460"/>
    <w:rsid w:val="4DE55D12"/>
    <w:rsid w:val="4E0A5FE2"/>
    <w:rsid w:val="4E483A99"/>
    <w:rsid w:val="4E560DDD"/>
    <w:rsid w:val="4EC06069"/>
    <w:rsid w:val="4FD006A3"/>
    <w:rsid w:val="502D045B"/>
    <w:rsid w:val="504970B9"/>
    <w:rsid w:val="5072726E"/>
    <w:rsid w:val="509E3FB5"/>
    <w:rsid w:val="50D040DC"/>
    <w:rsid w:val="50F76A85"/>
    <w:rsid w:val="514C5BEE"/>
    <w:rsid w:val="516C2F33"/>
    <w:rsid w:val="51B87B23"/>
    <w:rsid w:val="51C615D4"/>
    <w:rsid w:val="521E5E59"/>
    <w:rsid w:val="529F19C6"/>
    <w:rsid w:val="52D25E96"/>
    <w:rsid w:val="52D9392C"/>
    <w:rsid w:val="53516E17"/>
    <w:rsid w:val="53EA6C3F"/>
    <w:rsid w:val="54327ADE"/>
    <w:rsid w:val="54802145"/>
    <w:rsid w:val="549F3E4E"/>
    <w:rsid w:val="54A26135"/>
    <w:rsid w:val="54AD3776"/>
    <w:rsid w:val="54D35669"/>
    <w:rsid w:val="54D940C9"/>
    <w:rsid w:val="552603C0"/>
    <w:rsid w:val="558A0D21"/>
    <w:rsid w:val="55A3228D"/>
    <w:rsid w:val="55AC544A"/>
    <w:rsid w:val="55C27D35"/>
    <w:rsid w:val="55E61AA6"/>
    <w:rsid w:val="55EC7275"/>
    <w:rsid w:val="5690577E"/>
    <w:rsid w:val="56B00CC9"/>
    <w:rsid w:val="56D13851"/>
    <w:rsid w:val="57275B86"/>
    <w:rsid w:val="57760BB6"/>
    <w:rsid w:val="578957B7"/>
    <w:rsid w:val="57F11C23"/>
    <w:rsid w:val="580A5293"/>
    <w:rsid w:val="58413C8B"/>
    <w:rsid w:val="58A607B5"/>
    <w:rsid w:val="58AF59FA"/>
    <w:rsid w:val="58B47A34"/>
    <w:rsid w:val="58D14336"/>
    <w:rsid w:val="58D17A8E"/>
    <w:rsid w:val="59093426"/>
    <w:rsid w:val="59122E26"/>
    <w:rsid w:val="591F1360"/>
    <w:rsid w:val="592B7562"/>
    <w:rsid w:val="595F5FB6"/>
    <w:rsid w:val="59A7166F"/>
    <w:rsid w:val="59FF302A"/>
    <w:rsid w:val="5A3F2B9A"/>
    <w:rsid w:val="5A4F4218"/>
    <w:rsid w:val="5A9E62CB"/>
    <w:rsid w:val="5AE80F78"/>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14E44"/>
    <w:rsid w:val="606F691F"/>
    <w:rsid w:val="609C37E0"/>
    <w:rsid w:val="60B00572"/>
    <w:rsid w:val="60D2327D"/>
    <w:rsid w:val="61335EED"/>
    <w:rsid w:val="613A0A5B"/>
    <w:rsid w:val="617940FB"/>
    <w:rsid w:val="61B56E72"/>
    <w:rsid w:val="621105E9"/>
    <w:rsid w:val="622F072D"/>
    <w:rsid w:val="62666CC8"/>
    <w:rsid w:val="62723D9C"/>
    <w:rsid w:val="62834951"/>
    <w:rsid w:val="628610F5"/>
    <w:rsid w:val="62CF41D1"/>
    <w:rsid w:val="63076802"/>
    <w:rsid w:val="63BB0D30"/>
    <w:rsid w:val="63BF38BE"/>
    <w:rsid w:val="63EA2FEC"/>
    <w:rsid w:val="64197333"/>
    <w:rsid w:val="64241A78"/>
    <w:rsid w:val="64AC3DBD"/>
    <w:rsid w:val="65043DC0"/>
    <w:rsid w:val="65173321"/>
    <w:rsid w:val="652D0E41"/>
    <w:rsid w:val="65510938"/>
    <w:rsid w:val="65835C74"/>
    <w:rsid w:val="65F96C69"/>
    <w:rsid w:val="66066DD6"/>
    <w:rsid w:val="6613639F"/>
    <w:rsid w:val="663761A5"/>
    <w:rsid w:val="665A06AA"/>
    <w:rsid w:val="665B33F3"/>
    <w:rsid w:val="667354F0"/>
    <w:rsid w:val="667A3F84"/>
    <w:rsid w:val="667A6619"/>
    <w:rsid w:val="66944426"/>
    <w:rsid w:val="6705723F"/>
    <w:rsid w:val="674203BE"/>
    <w:rsid w:val="675D15BB"/>
    <w:rsid w:val="67B009D4"/>
    <w:rsid w:val="67B00A56"/>
    <w:rsid w:val="67CB22B8"/>
    <w:rsid w:val="68077758"/>
    <w:rsid w:val="680D4691"/>
    <w:rsid w:val="68125C22"/>
    <w:rsid w:val="681B2FDF"/>
    <w:rsid w:val="68475461"/>
    <w:rsid w:val="68BE4E1C"/>
    <w:rsid w:val="695C047D"/>
    <w:rsid w:val="696A2E0E"/>
    <w:rsid w:val="69823D35"/>
    <w:rsid w:val="6A1D2473"/>
    <w:rsid w:val="6A212347"/>
    <w:rsid w:val="6AA80893"/>
    <w:rsid w:val="6ACE2BF0"/>
    <w:rsid w:val="6AD647DB"/>
    <w:rsid w:val="6B075FB5"/>
    <w:rsid w:val="6B444F8B"/>
    <w:rsid w:val="6B5F3556"/>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04DE4"/>
    <w:rsid w:val="6E6B7956"/>
    <w:rsid w:val="6EB208CE"/>
    <w:rsid w:val="6EE13322"/>
    <w:rsid w:val="6F2E085C"/>
    <w:rsid w:val="6F3D08D5"/>
    <w:rsid w:val="6F5025C9"/>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275A1"/>
    <w:rsid w:val="757933E5"/>
    <w:rsid w:val="75973655"/>
    <w:rsid w:val="75EA62BA"/>
    <w:rsid w:val="763D5A07"/>
    <w:rsid w:val="766E6F72"/>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643466"/>
    <w:rsid w:val="7B877A63"/>
    <w:rsid w:val="7C1461DC"/>
    <w:rsid w:val="7C17374E"/>
    <w:rsid w:val="7C1F0453"/>
    <w:rsid w:val="7C214BB4"/>
    <w:rsid w:val="7C395B0D"/>
    <w:rsid w:val="7C62777A"/>
    <w:rsid w:val="7C8E794B"/>
    <w:rsid w:val="7D040099"/>
    <w:rsid w:val="7D5A592C"/>
    <w:rsid w:val="7D5E676F"/>
    <w:rsid w:val="7DD96484"/>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4">
    <w:name w:val="heading 3"/>
    <w:basedOn w:val="1"/>
    <w:next w:val="1"/>
    <w:link w:val="61"/>
    <w:qFormat/>
    <w:uiPriority w:val="0"/>
    <w:pPr>
      <w:keepNext/>
      <w:keepLines/>
      <w:spacing w:before="260" w:after="260" w:line="413" w:lineRule="auto"/>
      <w:outlineLvl w:val="2"/>
    </w:pPr>
    <w:rPr>
      <w:b/>
      <w:bCs/>
      <w:sz w:val="32"/>
      <w:szCs w:val="32"/>
    </w:rPr>
  </w:style>
  <w:style w:type="paragraph" w:styleId="5">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6">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7">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8">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9">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0">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qFormat/>
    <w:uiPriority w:val="0"/>
    <w:pPr>
      <w:ind w:left="420" w:leftChars="200"/>
    </w:pPr>
  </w:style>
  <w:style w:type="paragraph" w:styleId="12">
    <w:name w:val="index 8"/>
    <w:basedOn w:val="1"/>
    <w:next w:val="1"/>
    <w:qFormat/>
    <w:uiPriority w:val="0"/>
    <w:pPr>
      <w:ind w:left="2940"/>
    </w:pPr>
  </w:style>
  <w:style w:type="paragraph" w:styleId="13">
    <w:name w:val="List Number"/>
    <w:basedOn w:val="1"/>
    <w:qFormat/>
    <w:uiPriority w:val="0"/>
    <w:pPr>
      <w:numPr>
        <w:ilvl w:val="0"/>
        <w:numId w:val="1"/>
      </w:numPr>
    </w:pPr>
  </w:style>
  <w:style w:type="paragraph" w:styleId="14">
    <w:name w:val="Normal Indent"/>
    <w:basedOn w:val="1"/>
    <w:next w:val="1"/>
    <w:link w:val="60"/>
    <w:qFormat/>
    <w:uiPriority w:val="0"/>
    <w:pPr>
      <w:ind w:firstLine="420"/>
    </w:pPr>
  </w:style>
  <w:style w:type="paragraph" w:styleId="15">
    <w:name w:val="caption"/>
    <w:basedOn w:val="1"/>
    <w:next w:val="1"/>
    <w:qFormat/>
    <w:uiPriority w:val="0"/>
    <w:pPr>
      <w:widowControl/>
      <w:jc w:val="left"/>
    </w:pPr>
    <w:rPr>
      <w:rFonts w:ascii="Arial" w:hAnsi="Arial" w:eastAsia="黑体" w:cs="Arial"/>
      <w:kern w:val="0"/>
      <w:sz w:val="20"/>
      <w:szCs w:val="20"/>
    </w:rPr>
  </w:style>
  <w:style w:type="paragraph" w:styleId="16">
    <w:name w:val="List Bullet"/>
    <w:basedOn w:val="1"/>
    <w:qFormat/>
    <w:uiPriority w:val="0"/>
    <w:pPr>
      <w:tabs>
        <w:tab w:val="left" w:pos="420"/>
      </w:tabs>
      <w:ind w:left="420" w:hanging="420"/>
    </w:pPr>
    <w:rPr>
      <w:szCs w:val="24"/>
    </w:rPr>
  </w:style>
  <w:style w:type="paragraph" w:styleId="17">
    <w:name w:val="Document Map"/>
    <w:basedOn w:val="1"/>
    <w:link w:val="68"/>
    <w:qFormat/>
    <w:uiPriority w:val="0"/>
    <w:pPr>
      <w:shd w:val="clear" w:color="auto" w:fill="000080"/>
    </w:pPr>
    <w:rPr>
      <w:szCs w:val="24"/>
    </w:rPr>
  </w:style>
  <w:style w:type="paragraph" w:styleId="18">
    <w:name w:val="annotation text"/>
    <w:basedOn w:val="1"/>
    <w:link w:val="69"/>
    <w:qFormat/>
    <w:uiPriority w:val="0"/>
    <w:pPr>
      <w:jc w:val="left"/>
    </w:pPr>
  </w:style>
  <w:style w:type="paragraph" w:styleId="19">
    <w:name w:val="Body Text 3"/>
    <w:basedOn w:val="1"/>
    <w:link w:val="70"/>
    <w:qFormat/>
    <w:uiPriority w:val="0"/>
    <w:pPr>
      <w:spacing w:after="120"/>
    </w:pPr>
    <w:rPr>
      <w:sz w:val="16"/>
      <w:szCs w:val="16"/>
    </w:rPr>
  </w:style>
  <w:style w:type="paragraph" w:styleId="20">
    <w:name w:val="Body Text"/>
    <w:basedOn w:val="1"/>
    <w:next w:val="21"/>
    <w:link w:val="57"/>
    <w:qFormat/>
    <w:uiPriority w:val="0"/>
    <w:pPr>
      <w:spacing w:after="120"/>
    </w:pPr>
  </w:style>
  <w:style w:type="paragraph" w:styleId="21">
    <w:name w:val="Body Text 2"/>
    <w:basedOn w:val="1"/>
    <w:next w:val="20"/>
    <w:link w:val="78"/>
    <w:qFormat/>
    <w:uiPriority w:val="0"/>
    <w:pPr>
      <w:spacing w:after="120" w:line="480" w:lineRule="auto"/>
    </w:pPr>
    <w:rPr>
      <w:szCs w:val="24"/>
    </w:rPr>
  </w:style>
  <w:style w:type="paragraph" w:styleId="22">
    <w:name w:val="Body Text Indent"/>
    <w:basedOn w:val="20"/>
    <w:next w:val="23"/>
    <w:qFormat/>
    <w:uiPriority w:val="0"/>
    <w:pPr>
      <w:ind w:left="420" w:leftChars="200"/>
    </w:pPr>
  </w:style>
  <w:style w:type="paragraph" w:styleId="23">
    <w:name w:val="envelope return"/>
    <w:basedOn w:val="1"/>
    <w:qFormat/>
    <w:uiPriority w:val="0"/>
    <w:pPr>
      <w:snapToGrid w:val="0"/>
    </w:pPr>
    <w:rPr>
      <w:rFonts w:ascii="Arial" w:hAnsi="Arial"/>
    </w:rPr>
  </w:style>
  <w:style w:type="paragraph" w:styleId="24">
    <w:name w:val="Block Text"/>
    <w:basedOn w:val="1"/>
    <w:qFormat/>
    <w:uiPriority w:val="0"/>
    <w:pPr>
      <w:spacing w:line="312" w:lineRule="auto"/>
      <w:ind w:left="785" w:right="180" w:firstLine="420"/>
    </w:pPr>
    <w:rPr>
      <w:rFonts w:hAnsi="宋体"/>
      <w:color w:val="FF0000"/>
      <w:sz w:val="20"/>
      <w:szCs w:val="20"/>
    </w:rPr>
  </w:style>
  <w:style w:type="paragraph" w:styleId="25">
    <w:name w:val="toc 3"/>
    <w:basedOn w:val="1"/>
    <w:next w:val="1"/>
    <w:qFormat/>
    <w:uiPriority w:val="0"/>
    <w:pPr>
      <w:ind w:left="420"/>
      <w:jc w:val="left"/>
    </w:pPr>
    <w:rPr>
      <w:i/>
      <w:iCs/>
      <w:sz w:val="20"/>
      <w:szCs w:val="20"/>
    </w:rPr>
  </w:style>
  <w:style w:type="paragraph" w:styleId="26">
    <w:name w:val="Plain Text"/>
    <w:basedOn w:val="1"/>
    <w:next w:val="12"/>
    <w:link w:val="71"/>
    <w:qFormat/>
    <w:uiPriority w:val="0"/>
    <w:rPr>
      <w:rFonts w:ascii="宋体" w:hAnsi="Courier New" w:eastAsia="等线" w:cs="宋体"/>
    </w:rPr>
  </w:style>
  <w:style w:type="paragraph" w:styleId="27">
    <w:name w:val="Date"/>
    <w:basedOn w:val="1"/>
    <w:next w:val="1"/>
    <w:link w:val="72"/>
    <w:qFormat/>
    <w:uiPriority w:val="0"/>
    <w:pPr>
      <w:ind w:left="100" w:leftChars="2500"/>
    </w:pPr>
  </w:style>
  <w:style w:type="paragraph" w:styleId="28">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9">
    <w:name w:val="Balloon Text"/>
    <w:basedOn w:val="1"/>
    <w:link w:val="74"/>
    <w:qFormat/>
    <w:uiPriority w:val="0"/>
    <w:rPr>
      <w:sz w:val="18"/>
      <w:szCs w:val="18"/>
    </w:rPr>
  </w:style>
  <w:style w:type="paragraph" w:styleId="30">
    <w:name w:val="footer"/>
    <w:basedOn w:val="1"/>
    <w:link w:val="75"/>
    <w:qFormat/>
    <w:uiPriority w:val="0"/>
    <w:pPr>
      <w:tabs>
        <w:tab w:val="center" w:pos="4153"/>
        <w:tab w:val="right" w:pos="8306"/>
      </w:tabs>
      <w:snapToGrid w:val="0"/>
      <w:jc w:val="left"/>
    </w:pPr>
    <w:rPr>
      <w:sz w:val="18"/>
      <w:szCs w:val="18"/>
    </w:rPr>
  </w:style>
  <w:style w:type="paragraph" w:styleId="31">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spacing w:before="120" w:after="120"/>
      <w:jc w:val="left"/>
    </w:pPr>
    <w:rPr>
      <w:b/>
      <w:bCs/>
      <w:caps/>
      <w:sz w:val="20"/>
      <w:szCs w:val="20"/>
    </w:rPr>
  </w:style>
  <w:style w:type="paragraph" w:styleId="33">
    <w:name w:val="toc 4"/>
    <w:basedOn w:val="1"/>
    <w:next w:val="1"/>
    <w:qFormat/>
    <w:uiPriority w:val="0"/>
    <w:pPr>
      <w:ind w:left="630"/>
      <w:jc w:val="left"/>
    </w:pPr>
    <w:rPr>
      <w:sz w:val="18"/>
      <w:szCs w:val="18"/>
    </w:rPr>
  </w:style>
  <w:style w:type="paragraph" w:styleId="34">
    <w:name w:val="Body Text Indent 3"/>
    <w:basedOn w:val="1"/>
    <w:link w:val="77"/>
    <w:qFormat/>
    <w:uiPriority w:val="0"/>
    <w:pPr>
      <w:spacing w:after="120"/>
      <w:ind w:left="420" w:leftChars="200"/>
    </w:pPr>
    <w:rPr>
      <w:sz w:val="16"/>
      <w:szCs w:val="16"/>
    </w:rPr>
  </w:style>
  <w:style w:type="paragraph" w:styleId="35">
    <w:name w:val="toc 2"/>
    <w:basedOn w:val="1"/>
    <w:next w:val="1"/>
    <w:qFormat/>
    <w:uiPriority w:val="0"/>
    <w:pPr>
      <w:ind w:left="210"/>
      <w:jc w:val="left"/>
    </w:pPr>
    <w:rPr>
      <w:smallCaps/>
      <w:sz w:val="20"/>
      <w:szCs w:val="20"/>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18"/>
    <w:next w:val="18"/>
    <w:link w:val="80"/>
    <w:qFormat/>
    <w:uiPriority w:val="0"/>
    <w:rPr>
      <w:b/>
      <w:bCs/>
    </w:rPr>
  </w:style>
  <w:style w:type="paragraph" w:styleId="40">
    <w:name w:val="Body Text First Indent"/>
    <w:basedOn w:val="20"/>
    <w:next w:val="20"/>
    <w:link w:val="81"/>
    <w:qFormat/>
    <w:uiPriority w:val="0"/>
    <w:pPr>
      <w:ind w:firstLine="420" w:firstLineChars="100"/>
    </w:pPr>
  </w:style>
  <w:style w:type="paragraph" w:styleId="41">
    <w:name w:val="Body Text First Indent 2"/>
    <w:basedOn w:val="22"/>
    <w:next w:val="14"/>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0"/>
    <w:qFormat/>
    <w:uiPriority w:val="0"/>
    <w:rPr>
      <w:rFonts w:ascii="Times New Roman" w:hAnsi="Times New Roman" w:eastAsia="宋体" w:cs="Times New Roman"/>
      <w:szCs w:val="21"/>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 w:type="character" w:customStyle="1" w:styleId="59">
    <w:name w:val="标题 2 字符"/>
    <w:link w:val="3"/>
    <w:qFormat/>
    <w:uiPriority w:val="0"/>
    <w:rPr>
      <w:rFonts w:ascii="Arial" w:hAnsi="Arial" w:eastAsia="黑体" w:cs="Arial"/>
      <w:b/>
      <w:bCs/>
      <w:sz w:val="32"/>
      <w:szCs w:val="32"/>
    </w:rPr>
  </w:style>
  <w:style w:type="character" w:customStyle="1" w:styleId="60">
    <w:name w:val="正文缩进 字符1"/>
    <w:link w:val="14"/>
    <w:qFormat/>
    <w:uiPriority w:val="0"/>
    <w:rPr>
      <w:rFonts w:ascii="Times New Roman" w:hAnsi="Times New Roman" w:eastAsia="宋体" w:cs="Times New Roman"/>
      <w:szCs w:val="21"/>
    </w:rPr>
  </w:style>
  <w:style w:type="character" w:customStyle="1" w:styleId="61">
    <w:name w:val="标题 3 字符"/>
    <w:link w:val="4"/>
    <w:qFormat/>
    <w:uiPriority w:val="0"/>
    <w:rPr>
      <w:rFonts w:ascii="Times New Roman" w:hAnsi="Times New Roman" w:eastAsia="宋体" w:cs="Times New Roman"/>
      <w:b/>
      <w:bCs/>
      <w:sz w:val="32"/>
      <w:szCs w:val="32"/>
    </w:rPr>
  </w:style>
  <w:style w:type="character" w:customStyle="1" w:styleId="62">
    <w:name w:val="标题 4 字符"/>
    <w:link w:val="5"/>
    <w:qFormat/>
    <w:uiPriority w:val="0"/>
    <w:rPr>
      <w:rFonts w:ascii="Arial" w:hAnsi="Arial" w:eastAsia="宋体" w:cs="Arial"/>
      <w:sz w:val="28"/>
      <w:szCs w:val="28"/>
    </w:rPr>
  </w:style>
  <w:style w:type="character" w:customStyle="1" w:styleId="63">
    <w:name w:val="标题 5 字符"/>
    <w:link w:val="6"/>
    <w:qFormat/>
    <w:uiPriority w:val="0"/>
    <w:rPr>
      <w:rFonts w:ascii="Arial" w:hAnsi="Arial" w:eastAsia="黑体" w:cs="Times New Roman"/>
      <w:b/>
      <w:sz w:val="24"/>
      <w:szCs w:val="20"/>
    </w:rPr>
  </w:style>
  <w:style w:type="character" w:customStyle="1" w:styleId="64">
    <w:name w:val="标题 6 字符"/>
    <w:link w:val="7"/>
    <w:qFormat/>
    <w:uiPriority w:val="0"/>
    <w:rPr>
      <w:rFonts w:ascii="Arial" w:hAnsi="Arial" w:eastAsia="黑体" w:cs="Arial"/>
      <w:b/>
      <w:bCs/>
      <w:sz w:val="24"/>
      <w:szCs w:val="24"/>
    </w:rPr>
  </w:style>
  <w:style w:type="character" w:customStyle="1" w:styleId="65">
    <w:name w:val="标题 7 字符"/>
    <w:link w:val="8"/>
    <w:qFormat/>
    <w:uiPriority w:val="0"/>
    <w:rPr>
      <w:rFonts w:ascii="Times New Roman" w:hAnsi="Times New Roman" w:eastAsia="宋体" w:cs="Times New Roman"/>
      <w:b/>
      <w:bCs/>
      <w:sz w:val="24"/>
      <w:szCs w:val="24"/>
    </w:rPr>
  </w:style>
  <w:style w:type="character" w:customStyle="1" w:styleId="66">
    <w:name w:val="标题 8 字符"/>
    <w:link w:val="9"/>
    <w:qFormat/>
    <w:uiPriority w:val="0"/>
    <w:rPr>
      <w:rFonts w:ascii="等线 Light" w:hAnsi="等线 Light" w:eastAsia="等线 Light" w:cs="Times New Roman"/>
      <w:sz w:val="24"/>
      <w:szCs w:val="24"/>
    </w:rPr>
  </w:style>
  <w:style w:type="character" w:customStyle="1" w:styleId="67">
    <w:name w:val="标题 9 字符"/>
    <w:link w:val="10"/>
    <w:qFormat/>
    <w:uiPriority w:val="0"/>
    <w:rPr>
      <w:rFonts w:ascii="Arial" w:hAnsi="Arial" w:eastAsia="黑体" w:cs="Times New Roman"/>
      <w:szCs w:val="21"/>
    </w:rPr>
  </w:style>
  <w:style w:type="character" w:customStyle="1" w:styleId="68">
    <w:name w:val="文档结构图 字符"/>
    <w:link w:val="17"/>
    <w:qFormat/>
    <w:uiPriority w:val="0"/>
    <w:rPr>
      <w:rFonts w:ascii="Times New Roman" w:hAnsi="Times New Roman" w:eastAsia="宋体" w:cs="Times New Roman"/>
      <w:szCs w:val="24"/>
      <w:shd w:val="clear" w:color="auto" w:fill="000080"/>
    </w:rPr>
  </w:style>
  <w:style w:type="character" w:customStyle="1" w:styleId="69">
    <w:name w:val="批注文字 字符"/>
    <w:link w:val="18"/>
    <w:qFormat/>
    <w:uiPriority w:val="0"/>
    <w:rPr>
      <w:rFonts w:ascii="Times New Roman" w:hAnsi="Times New Roman" w:eastAsia="宋体" w:cs="Times New Roman"/>
      <w:szCs w:val="21"/>
    </w:rPr>
  </w:style>
  <w:style w:type="character" w:customStyle="1" w:styleId="70">
    <w:name w:val="正文文本 3 字符"/>
    <w:link w:val="19"/>
    <w:qFormat/>
    <w:uiPriority w:val="0"/>
    <w:rPr>
      <w:rFonts w:ascii="Times New Roman" w:hAnsi="Times New Roman" w:eastAsia="宋体" w:cs="Times New Roman"/>
      <w:sz w:val="16"/>
      <w:szCs w:val="16"/>
    </w:rPr>
  </w:style>
  <w:style w:type="character" w:customStyle="1" w:styleId="71">
    <w:name w:val="纯文本 字符"/>
    <w:link w:val="26"/>
    <w:qFormat/>
    <w:uiPriority w:val="0"/>
    <w:rPr>
      <w:rFonts w:ascii="宋体" w:hAnsi="Courier New" w:eastAsia="宋体" w:cs="宋体"/>
      <w:szCs w:val="21"/>
    </w:rPr>
  </w:style>
  <w:style w:type="character" w:customStyle="1" w:styleId="72">
    <w:name w:val="日期 字符"/>
    <w:link w:val="27"/>
    <w:qFormat/>
    <w:uiPriority w:val="0"/>
    <w:rPr>
      <w:rFonts w:ascii="Times New Roman" w:hAnsi="Times New Roman" w:eastAsia="宋体" w:cs="Times New Roman"/>
      <w:szCs w:val="21"/>
    </w:rPr>
  </w:style>
  <w:style w:type="character" w:customStyle="1" w:styleId="73">
    <w:name w:val="正文文本缩进 2 字符"/>
    <w:link w:val="28"/>
    <w:qFormat/>
    <w:uiPriority w:val="0"/>
    <w:rPr>
      <w:rFonts w:ascii="Times New Roman" w:hAnsi="Times New Roman" w:eastAsia="宋体" w:cs="Times New Roman"/>
      <w:sz w:val="24"/>
      <w:szCs w:val="24"/>
    </w:rPr>
  </w:style>
  <w:style w:type="character" w:customStyle="1" w:styleId="74">
    <w:name w:val="批注框文本 字符"/>
    <w:link w:val="29"/>
    <w:qFormat/>
    <w:uiPriority w:val="0"/>
    <w:rPr>
      <w:rFonts w:ascii="Times New Roman" w:hAnsi="Times New Roman" w:eastAsia="宋体" w:cs="Times New Roman"/>
      <w:sz w:val="18"/>
      <w:szCs w:val="18"/>
    </w:rPr>
  </w:style>
  <w:style w:type="character" w:customStyle="1" w:styleId="75">
    <w:name w:val="页脚 字符"/>
    <w:link w:val="30"/>
    <w:qFormat/>
    <w:uiPriority w:val="0"/>
    <w:rPr>
      <w:rFonts w:ascii="Times New Roman" w:hAnsi="Times New Roman" w:eastAsia="宋体" w:cs="Times New Roman"/>
      <w:sz w:val="18"/>
      <w:szCs w:val="18"/>
    </w:rPr>
  </w:style>
  <w:style w:type="character" w:customStyle="1" w:styleId="76">
    <w:name w:val="页眉 字符"/>
    <w:link w:val="31"/>
    <w:qFormat/>
    <w:uiPriority w:val="0"/>
    <w:rPr>
      <w:rFonts w:ascii="Times New Roman" w:hAnsi="Times New Roman" w:eastAsia="宋体" w:cs="Times New Roman"/>
      <w:sz w:val="18"/>
      <w:szCs w:val="18"/>
    </w:rPr>
  </w:style>
  <w:style w:type="character" w:customStyle="1" w:styleId="77">
    <w:name w:val="正文文本缩进 3 字符"/>
    <w:link w:val="34"/>
    <w:qFormat/>
    <w:uiPriority w:val="0"/>
    <w:rPr>
      <w:rFonts w:ascii="Times New Roman" w:hAnsi="Times New Roman" w:eastAsia="宋体" w:cs="Times New Roman"/>
      <w:sz w:val="16"/>
      <w:szCs w:val="16"/>
    </w:rPr>
  </w:style>
  <w:style w:type="character" w:customStyle="1" w:styleId="78">
    <w:name w:val="正文文本 2 字符"/>
    <w:link w:val="21"/>
    <w:qFormat/>
    <w:uiPriority w:val="0"/>
    <w:rPr>
      <w:rFonts w:ascii="Times New Roman" w:hAnsi="Times New Roman" w:eastAsia="宋体" w:cs="Times New Roman"/>
      <w:szCs w:val="24"/>
    </w:rPr>
  </w:style>
  <w:style w:type="character" w:customStyle="1" w:styleId="79">
    <w:name w:val="标题 字符"/>
    <w:link w:val="38"/>
    <w:qFormat/>
    <w:uiPriority w:val="0"/>
    <w:rPr>
      <w:rFonts w:ascii="Arial" w:hAnsi="Arial" w:eastAsia="宋体" w:cs="Times New Roman"/>
      <w:b/>
      <w:bCs/>
      <w:kern w:val="0"/>
      <w:sz w:val="32"/>
      <w:szCs w:val="32"/>
    </w:rPr>
  </w:style>
  <w:style w:type="character" w:customStyle="1" w:styleId="80">
    <w:name w:val="批注主题 字符"/>
    <w:link w:val="39"/>
    <w:qFormat/>
    <w:uiPriority w:val="0"/>
    <w:rPr>
      <w:rFonts w:ascii="Times New Roman" w:hAnsi="Times New Roman" w:eastAsia="宋体" w:cs="Times New Roman"/>
      <w:b/>
      <w:bCs/>
      <w:szCs w:val="21"/>
    </w:rPr>
  </w:style>
  <w:style w:type="character" w:customStyle="1" w:styleId="81">
    <w:name w:val="正文首行缩进 字符"/>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4"/>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3"/>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2"/>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0"/>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6"/>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5"/>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5"/>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0"/>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4"/>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4"/>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0"/>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4"/>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0"/>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0"/>
    <w:next w:val="40"/>
    <w:qFormat/>
    <w:uiPriority w:val="0"/>
    <w:pPr>
      <w:ind w:firstLine="420" w:firstLineChars="100"/>
    </w:pPr>
    <w:rPr>
      <w:szCs w:val="24"/>
    </w:rPr>
  </w:style>
  <w:style w:type="character" w:customStyle="1" w:styleId="215">
    <w:name w:val="标题 4 Char"/>
    <w:link w:val="5"/>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12540</Words>
  <Characters>13287</Characters>
  <Lines>147</Lines>
  <Paragraphs>41</Paragraphs>
  <TotalTime>5</TotalTime>
  <ScaleCrop>false</ScaleCrop>
  <LinksUpToDate>false</LinksUpToDate>
  <CharactersWithSpaces>13363</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2025-11-18T02:51:00Z</cp:lastPrinted>
  <dcterms:modified xsi:type="dcterms:W3CDTF">2026-01-16T06:21:18Z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A8550F213A75405E93BFF4387C1BB3E4_13</vt:lpwstr>
  </property>
  <property fmtid="{D5CDD505-2E9C-101B-9397-08002B2CF9AE}" pid="4" name="KSOTemplateDocerSaveRecord">
    <vt:lpwstr>eyJoZGlkIjoiYTc1M2MwNWQwMjBlMWUzZjNlNTQzNTJmMDMwYmUyOTYiLCJ1c2VySWQiOiI0MDk3MjAyODMifQ==</vt:lpwstr>
  </property>
</Properties>
</file>