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olor w:val="auto"/>
          <w:sz w:val="36"/>
          <w:szCs w:val="36"/>
          <w:highlight w:val="none"/>
        </w:rPr>
      </w:pPr>
      <w:r>
        <w:rPr>
          <w:rFonts w:hint="eastAsia" w:ascii="黑体" w:hAnsi="黑体" w:eastAsia="黑体"/>
          <w:b/>
          <w:bCs/>
          <w:color w:val="auto"/>
          <w:sz w:val="36"/>
          <w:szCs w:val="36"/>
          <w:highlight w:val="none"/>
        </w:rPr>
        <w:t>桂林银行漓江系列信用卡积分规则</w:t>
      </w:r>
    </w:p>
    <w:p>
      <w:pPr>
        <w:ind w:firstLine="280" w:firstLineChars="100"/>
        <w:rPr>
          <w:rFonts w:ascii="黑体" w:hAnsi="黑体" w:eastAsia="黑体"/>
          <w:color w:val="auto"/>
          <w:sz w:val="28"/>
          <w:szCs w:val="28"/>
          <w:highlight w:val="none"/>
        </w:rPr>
      </w:pPr>
    </w:p>
    <w:p>
      <w:pPr>
        <w:ind w:firstLine="560" w:firstLineChars="200"/>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桂林银行漓江系列信用卡积分是桂林银行为回馈客户，特别推出的一项奖励活动。桂林银行漓江系列信用卡持卡人可将名下累积的积分用于兑换积分礼品、礼券、或相关的增值服务。具体奖励办法及条款细则规定如下：</w:t>
      </w:r>
    </w:p>
    <w:p>
      <w:pPr>
        <w:ind w:firstLine="560" w:firstLineChars="200"/>
        <w:rPr>
          <w:rFonts w:ascii="黑体" w:hAnsi="黑体" w:eastAsia="黑体"/>
          <w:color w:val="auto"/>
          <w:sz w:val="28"/>
          <w:szCs w:val="28"/>
          <w:highlight w:val="none"/>
        </w:rPr>
      </w:pPr>
      <w:r>
        <w:rPr>
          <w:rFonts w:hint="eastAsia" w:ascii="黑体" w:hAnsi="黑体" w:eastAsia="黑体"/>
          <w:color w:val="auto"/>
          <w:sz w:val="28"/>
          <w:szCs w:val="28"/>
          <w:highlight w:val="none"/>
        </w:rPr>
        <w:t>一、基本规定</w:t>
      </w:r>
    </w:p>
    <w:p>
      <w:pPr>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1.</w:t>
      </w:r>
      <w:r>
        <w:rPr>
          <w:rFonts w:hint="eastAsia" w:ascii="宋体" w:hAnsi="宋体" w:eastAsia="宋体" w:cs="宋体"/>
          <w:color w:val="auto"/>
          <w:kern w:val="0"/>
          <w:sz w:val="28"/>
          <w:szCs w:val="28"/>
          <w:highlight w:val="none"/>
        </w:rPr>
        <w:t>桂林银行漓江系列信用卡持卡人完成指定积分任务或使用指定卡产品进行消费，即可按照本积分规则累计积分</w:t>
      </w:r>
      <w:r>
        <w:rPr>
          <w:rFonts w:ascii="宋体" w:hAnsi="宋体" w:eastAsia="宋体"/>
          <w:color w:val="auto"/>
          <w:sz w:val="28"/>
          <w:szCs w:val="28"/>
          <w:highlight w:val="none"/>
        </w:rPr>
        <w:t>。</w:t>
      </w:r>
    </w:p>
    <w:p>
      <w:pPr>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2.</w:t>
      </w:r>
      <w:r>
        <w:rPr>
          <w:rFonts w:hint="eastAsia" w:ascii="宋体" w:hAnsi="宋体" w:eastAsia="宋体"/>
          <w:color w:val="auto"/>
          <w:sz w:val="28"/>
          <w:szCs w:val="28"/>
          <w:highlight w:val="none"/>
        </w:rPr>
        <w:t>本积分规则</w:t>
      </w:r>
      <w:r>
        <w:rPr>
          <w:rFonts w:hint="eastAsia" w:ascii="宋体" w:hAnsi="宋体" w:eastAsia="宋体"/>
          <w:color w:val="auto"/>
          <w:sz w:val="28"/>
          <w:szCs w:val="28"/>
          <w:highlight w:val="none"/>
          <w:lang w:val="en-US" w:eastAsia="zh-CN"/>
        </w:rPr>
        <w:t>仅</w:t>
      </w:r>
      <w:r>
        <w:rPr>
          <w:rFonts w:hint="eastAsia" w:ascii="宋体" w:hAnsi="宋体" w:eastAsia="宋体"/>
          <w:color w:val="auto"/>
          <w:sz w:val="28"/>
          <w:szCs w:val="28"/>
          <w:highlight w:val="none"/>
        </w:rPr>
        <w:t>适用于桂林银行漓江系列信用卡</w:t>
      </w: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lang w:val="en-US" w:eastAsia="zh-CN"/>
        </w:rPr>
        <w:t>不含本行家装分期、汽车分期、快E分等大额分期产品所配发的卡片</w:t>
      </w:r>
      <w:r>
        <w:rPr>
          <w:rFonts w:hint="eastAsia" w:ascii="宋体" w:hAnsi="宋体" w:eastAsia="宋体"/>
          <w:color w:val="auto"/>
          <w:sz w:val="28"/>
          <w:szCs w:val="28"/>
          <w:highlight w:val="none"/>
        </w:rPr>
        <w:t>。个别卡种如有特殊规定，以本行最新公告为准。</w:t>
      </w:r>
    </w:p>
    <w:p>
      <w:pPr>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3</w:t>
      </w:r>
      <w:r>
        <w:rPr>
          <w:rFonts w:ascii="宋体" w:hAnsi="宋体" w:eastAsia="宋体"/>
          <w:color w:val="auto"/>
          <w:sz w:val="28"/>
          <w:szCs w:val="28"/>
          <w:highlight w:val="none"/>
        </w:rPr>
        <w:t>.</w:t>
      </w:r>
      <w:r>
        <w:rPr>
          <w:rFonts w:hint="eastAsia" w:ascii="宋体" w:hAnsi="宋体" w:eastAsia="宋体"/>
          <w:color w:val="auto"/>
          <w:sz w:val="28"/>
          <w:szCs w:val="28"/>
          <w:highlight w:val="none"/>
        </w:rPr>
        <w:t>本积分规则适用于规则发布之日起所累计的信用卡积分，不适用于持卡人此前在本行所累计的综合权益。</w:t>
      </w:r>
    </w:p>
    <w:p>
      <w:pPr>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4.</w:t>
      </w:r>
      <w:r>
        <w:rPr>
          <w:rFonts w:hint="eastAsia" w:ascii="宋体" w:hAnsi="宋体" w:eastAsia="宋体"/>
          <w:color w:val="auto"/>
          <w:sz w:val="28"/>
          <w:szCs w:val="28"/>
          <w:highlight w:val="none"/>
        </w:rPr>
        <w:t>客户如有下述任一情形，本行有权取消其参加积分累计活动资格：</w:t>
      </w:r>
    </w:p>
    <w:p>
      <w:pPr>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w:t>
      </w:r>
      <w:r>
        <w:rPr>
          <w:rFonts w:ascii="宋体" w:hAnsi="宋体" w:eastAsia="宋体"/>
          <w:color w:val="auto"/>
          <w:sz w:val="28"/>
          <w:szCs w:val="28"/>
          <w:highlight w:val="none"/>
        </w:rPr>
        <w:t>所持信用卡或借记卡被停用或管制、自行注销信用卡、账户冻结；</w:t>
      </w:r>
    </w:p>
    <w:p>
      <w:pPr>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（2）</w:t>
      </w:r>
      <w:r>
        <w:rPr>
          <w:rFonts w:ascii="宋体" w:hAnsi="宋体" w:eastAsia="宋体"/>
          <w:color w:val="auto"/>
          <w:sz w:val="28"/>
          <w:szCs w:val="28"/>
          <w:highlight w:val="none"/>
        </w:rPr>
        <w:t>有逾期账款未偿还，未缴足最近两个月账单的最低还款额；</w:t>
      </w:r>
    </w:p>
    <w:p>
      <w:pPr>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（3）</w:t>
      </w:r>
      <w:r>
        <w:rPr>
          <w:rFonts w:ascii="宋体" w:hAnsi="宋体" w:eastAsia="宋体"/>
          <w:color w:val="auto"/>
          <w:sz w:val="28"/>
          <w:szCs w:val="28"/>
          <w:highlight w:val="none"/>
        </w:rPr>
        <w:t>违反《</w:t>
      </w:r>
      <w:r>
        <w:rPr>
          <w:rFonts w:hint="eastAsia" w:ascii="宋体" w:hAnsi="宋体" w:eastAsia="宋体"/>
          <w:color w:val="auto"/>
          <w:sz w:val="28"/>
          <w:szCs w:val="28"/>
          <w:highlight w:val="none"/>
        </w:rPr>
        <w:t>桂林银行</w:t>
      </w:r>
      <w:r>
        <w:rPr>
          <w:rFonts w:ascii="宋体" w:hAnsi="宋体" w:eastAsia="宋体"/>
          <w:color w:val="auto"/>
          <w:sz w:val="28"/>
          <w:szCs w:val="28"/>
          <w:highlight w:val="none"/>
        </w:rPr>
        <w:t>信用卡章程》、《</w:t>
      </w:r>
      <w:r>
        <w:rPr>
          <w:rFonts w:hint="eastAsia" w:ascii="宋体" w:hAnsi="宋体" w:eastAsia="宋体"/>
          <w:color w:val="auto"/>
          <w:sz w:val="28"/>
          <w:szCs w:val="28"/>
          <w:highlight w:val="none"/>
        </w:rPr>
        <w:t>桂林银行</w:t>
      </w:r>
      <w:r>
        <w:rPr>
          <w:rFonts w:ascii="宋体" w:hAnsi="宋体" w:eastAsia="宋体"/>
          <w:color w:val="auto"/>
          <w:sz w:val="28"/>
          <w:szCs w:val="28"/>
          <w:highlight w:val="none"/>
        </w:rPr>
        <w:t>信用卡领用合约》或本细则条款或其他相关规定；</w:t>
      </w:r>
    </w:p>
    <w:p>
      <w:pPr>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（4）桂林银行</w:t>
      </w:r>
      <w:r>
        <w:rPr>
          <w:rFonts w:ascii="宋体" w:hAnsi="宋体" w:eastAsia="宋体"/>
          <w:color w:val="auto"/>
          <w:sz w:val="28"/>
          <w:szCs w:val="28"/>
          <w:highlight w:val="none"/>
        </w:rPr>
        <w:t>规定的其他特殊情形。</w:t>
      </w:r>
    </w:p>
    <w:p>
      <w:pPr>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lang w:val="en-US" w:eastAsia="zh-CN"/>
        </w:rPr>
        <w:t>5</w:t>
      </w:r>
      <w:r>
        <w:rPr>
          <w:rFonts w:ascii="宋体" w:hAnsi="宋体" w:eastAsia="宋体"/>
          <w:color w:val="auto"/>
          <w:sz w:val="28"/>
          <w:szCs w:val="28"/>
          <w:highlight w:val="none"/>
        </w:rPr>
        <w:t>.</w:t>
      </w:r>
      <w:r>
        <w:rPr>
          <w:rFonts w:hint="eastAsia" w:ascii="宋体" w:hAnsi="宋体" w:eastAsia="宋体"/>
          <w:color w:val="auto"/>
          <w:sz w:val="28"/>
          <w:szCs w:val="28"/>
          <w:highlight w:val="none"/>
        </w:rPr>
        <w:t>桂林银行</w:t>
      </w:r>
      <w:r>
        <w:rPr>
          <w:rFonts w:ascii="宋体" w:hAnsi="宋体" w:eastAsia="宋体"/>
          <w:color w:val="auto"/>
          <w:sz w:val="28"/>
          <w:szCs w:val="28"/>
          <w:highlight w:val="none"/>
        </w:rPr>
        <w:t>有权要求客户提供消费交易发票、购买凭证等材料，以查实交易真实性；如客户无法提交相关材料，</w:t>
      </w:r>
      <w:r>
        <w:rPr>
          <w:rFonts w:hint="eastAsia" w:ascii="宋体" w:hAnsi="宋体" w:eastAsia="宋体"/>
          <w:color w:val="auto"/>
          <w:sz w:val="28"/>
          <w:szCs w:val="28"/>
          <w:highlight w:val="none"/>
        </w:rPr>
        <w:t>本行</w:t>
      </w:r>
      <w:r>
        <w:rPr>
          <w:rFonts w:ascii="宋体" w:hAnsi="宋体" w:eastAsia="宋体"/>
          <w:color w:val="auto"/>
          <w:sz w:val="28"/>
          <w:szCs w:val="28"/>
          <w:highlight w:val="none"/>
        </w:rPr>
        <w:t>有权不予兑换；一旦查实客户为虚假交易获取积分兑换套利或有逾期欠款行为的，以及违反法律法规及监管政策或我行相关约定规定的，</w:t>
      </w:r>
      <w:r>
        <w:rPr>
          <w:rFonts w:hint="eastAsia" w:ascii="宋体" w:hAnsi="宋体" w:eastAsia="宋体"/>
          <w:color w:val="auto"/>
          <w:sz w:val="28"/>
          <w:szCs w:val="28"/>
          <w:highlight w:val="none"/>
        </w:rPr>
        <w:t>桂林银行</w:t>
      </w:r>
      <w:r>
        <w:rPr>
          <w:rFonts w:ascii="宋体" w:hAnsi="宋体" w:eastAsia="宋体"/>
          <w:color w:val="auto"/>
          <w:sz w:val="28"/>
          <w:szCs w:val="28"/>
          <w:highlight w:val="none"/>
        </w:rPr>
        <w:t>有权采取冻结积分、积分清零、冻结卡片使用、销卡等措施，并保留进一步追索的权利；如前述行为可能构成犯罪的，</w:t>
      </w:r>
      <w:r>
        <w:rPr>
          <w:rFonts w:hint="eastAsia" w:ascii="宋体" w:hAnsi="宋体" w:eastAsia="宋体"/>
          <w:color w:val="auto"/>
          <w:sz w:val="28"/>
          <w:szCs w:val="28"/>
          <w:highlight w:val="none"/>
        </w:rPr>
        <w:t>桂林银行</w:t>
      </w:r>
      <w:r>
        <w:rPr>
          <w:rFonts w:ascii="宋体" w:hAnsi="宋体" w:eastAsia="宋体"/>
          <w:color w:val="auto"/>
          <w:sz w:val="28"/>
          <w:szCs w:val="28"/>
          <w:highlight w:val="none"/>
        </w:rPr>
        <w:t>有权向公安机关报案并向司法机关提供相关资料和信息。</w:t>
      </w:r>
    </w:p>
    <w:p>
      <w:pPr>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lang w:val="en-US" w:eastAsia="zh-CN"/>
        </w:rPr>
        <w:t>6</w:t>
      </w:r>
      <w:bookmarkStart w:id="0" w:name="_GoBack"/>
      <w:bookmarkEnd w:id="0"/>
      <w:r>
        <w:rPr>
          <w:rFonts w:hint="eastAsia" w:ascii="宋体" w:hAnsi="宋体" w:eastAsia="宋体"/>
          <w:color w:val="auto"/>
          <w:sz w:val="28"/>
          <w:szCs w:val="28"/>
          <w:highlight w:val="none"/>
        </w:rPr>
        <w:t>.积分为桂林银行对信用卡持卡人刷卡消费的回馈项目，在兑换取得积分礼品前并不构成持卡人资产，积分不可转让给其他持卡人或任何第三人，任何转让对桂林银行均不产生效力。</w:t>
      </w:r>
    </w:p>
    <w:p>
      <w:pPr>
        <w:ind w:firstLine="560" w:firstLineChars="200"/>
        <w:rPr>
          <w:rFonts w:ascii="黑体" w:hAnsi="黑体" w:eastAsia="黑体"/>
          <w:color w:val="auto"/>
          <w:sz w:val="28"/>
          <w:szCs w:val="28"/>
          <w:highlight w:val="none"/>
        </w:rPr>
      </w:pPr>
      <w:r>
        <w:rPr>
          <w:rFonts w:hint="eastAsia" w:ascii="黑体" w:hAnsi="黑体" w:eastAsia="黑体"/>
          <w:color w:val="auto"/>
          <w:sz w:val="28"/>
          <w:szCs w:val="28"/>
          <w:highlight w:val="none"/>
        </w:rPr>
        <w:t>二、积分累计范围</w:t>
      </w:r>
    </w:p>
    <w:p>
      <w:pPr>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1.持卡人通过</w:t>
      </w:r>
      <w:r>
        <w:rPr>
          <w:rFonts w:ascii="宋体" w:hAnsi="宋体" w:eastAsia="宋体"/>
          <w:color w:val="auto"/>
          <w:sz w:val="28"/>
          <w:szCs w:val="28"/>
          <w:highlight w:val="none"/>
        </w:rPr>
        <w:t>云闪付</w:t>
      </w:r>
      <w:r>
        <w:rPr>
          <w:rFonts w:hint="eastAsia" w:ascii="宋体" w:hAnsi="宋体" w:eastAsia="宋体"/>
          <w:color w:val="auto"/>
          <w:sz w:val="28"/>
          <w:szCs w:val="28"/>
          <w:highlight w:val="none"/>
          <w:lang w:eastAsia="zh-CN"/>
        </w:rPr>
        <w:t>、</w:t>
      </w:r>
      <w:r>
        <w:rPr>
          <w:rFonts w:ascii="宋体" w:hAnsi="宋体" w:eastAsia="宋体"/>
          <w:color w:val="auto"/>
          <w:sz w:val="28"/>
          <w:szCs w:val="28"/>
          <w:highlight w:val="none"/>
        </w:rPr>
        <w:t>微信支付、支付宝、美团支付绑定</w:t>
      </w:r>
      <w:r>
        <w:rPr>
          <w:rFonts w:hint="eastAsia" w:ascii="宋体" w:hAnsi="宋体" w:eastAsia="宋体"/>
          <w:color w:val="auto"/>
          <w:sz w:val="28"/>
          <w:szCs w:val="28"/>
          <w:highlight w:val="none"/>
        </w:rPr>
        <w:t>漓江系列</w:t>
      </w:r>
      <w:r>
        <w:rPr>
          <w:rFonts w:ascii="宋体" w:hAnsi="宋体" w:eastAsia="宋体"/>
          <w:color w:val="auto"/>
          <w:sz w:val="28"/>
          <w:szCs w:val="28"/>
          <w:highlight w:val="none"/>
        </w:rPr>
        <w:t>信用卡的</w:t>
      </w:r>
      <w:r>
        <w:rPr>
          <w:rFonts w:hint="eastAsia" w:ascii="宋体" w:hAnsi="宋体" w:eastAsia="宋体"/>
          <w:color w:val="auto"/>
          <w:sz w:val="28"/>
          <w:szCs w:val="28"/>
          <w:highlight w:val="none"/>
        </w:rPr>
        <w:t>线上</w:t>
      </w:r>
      <w:r>
        <w:rPr>
          <w:rFonts w:ascii="宋体" w:hAnsi="宋体" w:eastAsia="宋体"/>
          <w:color w:val="auto"/>
          <w:sz w:val="28"/>
          <w:szCs w:val="28"/>
          <w:highlight w:val="none"/>
        </w:rPr>
        <w:t>快捷支付交易，可累计</w:t>
      </w:r>
      <w:r>
        <w:rPr>
          <w:rFonts w:hint="eastAsia" w:ascii="宋体" w:hAnsi="宋体" w:eastAsia="宋体"/>
          <w:color w:val="auto"/>
          <w:sz w:val="28"/>
          <w:szCs w:val="28"/>
          <w:highlight w:val="none"/>
        </w:rPr>
        <w:t>积分。</w:t>
      </w:r>
    </w:p>
    <w:p>
      <w:pPr>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2.持卡人使用漓江系列信用卡进行线下刷卡消费可获得积分，但部分项目及商户交易不参加积分奖励计划，具体如下：</w:t>
      </w:r>
    </w:p>
    <w:tbl>
      <w:tblPr>
        <w:tblStyle w:val="5"/>
        <w:tblW w:w="6968" w:type="dxa"/>
        <w:jc w:val="center"/>
        <w:tblLayout w:type="autofit"/>
        <w:tblCellMar>
          <w:top w:w="0" w:type="dxa"/>
          <w:left w:w="108" w:type="dxa"/>
          <w:bottom w:w="0" w:type="dxa"/>
          <w:right w:w="108" w:type="dxa"/>
        </w:tblCellMar>
      </w:tblPr>
      <w:tblGrid>
        <w:gridCol w:w="1271"/>
        <w:gridCol w:w="5697"/>
      </w:tblGrid>
      <w:tr>
        <w:tblPrEx>
          <w:tblCellMar>
            <w:top w:w="0" w:type="dxa"/>
            <w:left w:w="108" w:type="dxa"/>
            <w:bottom w:w="0" w:type="dxa"/>
            <w:right w:w="108" w:type="dxa"/>
          </w:tblCellMar>
        </w:tblPrEx>
        <w:trPr>
          <w:trHeight w:val="261" w:hRule="atLeast"/>
          <w:jc w:val="center"/>
        </w:trPr>
        <w:tc>
          <w:tcPr>
            <w:tcW w:w="1271" w:type="dxa"/>
            <w:tcBorders>
              <w:top w:val="single" w:color="auto" w:sz="4" w:space="0"/>
              <w:left w:val="single" w:color="auto" w:sz="4" w:space="0"/>
              <w:bottom w:val="single" w:color="auto" w:sz="4" w:space="0"/>
              <w:right w:val="single" w:color="auto" w:sz="4" w:space="0"/>
            </w:tcBorders>
            <w:shd w:val="clear" w:color="000000" w:fill="FFFFFF"/>
          </w:tcPr>
          <w:p>
            <w:pPr>
              <w:spacing w:line="24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商户号</w:t>
            </w:r>
          </w:p>
        </w:tc>
        <w:tc>
          <w:tcPr>
            <w:tcW w:w="5697" w:type="dxa"/>
            <w:tcBorders>
              <w:top w:val="single" w:color="auto" w:sz="4" w:space="0"/>
              <w:left w:val="single" w:color="auto" w:sz="4" w:space="0"/>
              <w:bottom w:val="single" w:color="auto" w:sz="4" w:space="0"/>
              <w:right w:val="single" w:color="auto" w:sz="4" w:space="0"/>
            </w:tcBorders>
            <w:shd w:val="clear" w:color="000000" w:fill="FFFFFF"/>
          </w:tcPr>
          <w:p>
            <w:pPr>
              <w:spacing w:line="24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商户类型</w:t>
            </w:r>
          </w:p>
        </w:tc>
      </w:tr>
      <w:tr>
        <w:tblPrEx>
          <w:tblCellMar>
            <w:top w:w="0" w:type="dxa"/>
            <w:left w:w="108" w:type="dxa"/>
            <w:bottom w:w="0" w:type="dxa"/>
            <w:right w:w="108" w:type="dxa"/>
          </w:tblCellMar>
        </w:tblPrEx>
        <w:trPr>
          <w:trHeight w:val="261" w:hRule="atLeast"/>
          <w:jc w:val="center"/>
        </w:trPr>
        <w:tc>
          <w:tcPr>
            <w:tcW w:w="1271" w:type="dxa"/>
            <w:tcBorders>
              <w:top w:val="single" w:color="auto" w:sz="4" w:space="0"/>
              <w:left w:val="single" w:color="auto" w:sz="4" w:space="0"/>
              <w:bottom w:val="single" w:color="auto" w:sz="4" w:space="0"/>
              <w:right w:val="single" w:color="auto" w:sz="4" w:space="0"/>
            </w:tcBorders>
            <w:shd w:val="clear" w:color="000000" w:fill="FFFFFF"/>
          </w:tcPr>
          <w:p>
            <w:pPr>
              <w:spacing w:line="24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5511</w:t>
            </w:r>
          </w:p>
        </w:tc>
        <w:tc>
          <w:tcPr>
            <w:tcW w:w="5697" w:type="dxa"/>
            <w:tcBorders>
              <w:top w:val="single" w:color="auto" w:sz="4" w:space="0"/>
              <w:left w:val="single" w:color="auto" w:sz="4" w:space="0"/>
              <w:bottom w:val="single" w:color="auto" w:sz="4" w:space="0"/>
              <w:right w:val="single" w:color="auto" w:sz="4" w:space="0"/>
            </w:tcBorders>
            <w:shd w:val="clear" w:color="000000" w:fill="FFFFFF"/>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汽车经销商</w:t>
            </w:r>
          </w:p>
        </w:tc>
      </w:tr>
      <w:tr>
        <w:tblPrEx>
          <w:tblCellMar>
            <w:top w:w="0" w:type="dxa"/>
            <w:left w:w="108" w:type="dxa"/>
            <w:bottom w:w="0" w:type="dxa"/>
            <w:right w:w="108" w:type="dxa"/>
          </w:tblCellMar>
        </w:tblPrEx>
        <w:trPr>
          <w:trHeight w:val="132" w:hRule="atLeast"/>
          <w:jc w:val="center"/>
        </w:trPr>
        <w:tc>
          <w:tcPr>
            <w:tcW w:w="1271" w:type="dxa"/>
            <w:tcBorders>
              <w:top w:val="nil"/>
              <w:left w:val="single" w:color="auto" w:sz="4" w:space="0"/>
              <w:bottom w:val="single" w:color="auto" w:sz="4" w:space="0"/>
              <w:right w:val="single" w:color="auto" w:sz="4" w:space="0"/>
            </w:tcBorders>
            <w:shd w:val="clear" w:color="000000" w:fill="FFFFFF"/>
          </w:tcPr>
          <w:p>
            <w:pPr>
              <w:spacing w:line="24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5998</w:t>
            </w:r>
          </w:p>
        </w:tc>
        <w:tc>
          <w:tcPr>
            <w:tcW w:w="5697" w:type="dxa"/>
            <w:tcBorders>
              <w:top w:val="nil"/>
              <w:left w:val="single" w:color="auto" w:sz="4" w:space="0"/>
              <w:bottom w:val="single" w:color="auto" w:sz="4" w:space="0"/>
              <w:right w:val="single" w:color="auto" w:sz="4" w:space="0"/>
            </w:tcBorders>
            <w:shd w:val="clear" w:color="000000" w:fill="FFFFFF"/>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帐篷和雨蓬商店</w:t>
            </w:r>
          </w:p>
        </w:tc>
      </w:tr>
      <w:tr>
        <w:tblPrEx>
          <w:tblCellMar>
            <w:top w:w="0" w:type="dxa"/>
            <w:left w:w="108" w:type="dxa"/>
            <w:bottom w:w="0" w:type="dxa"/>
            <w:right w:w="108" w:type="dxa"/>
          </w:tblCellMar>
        </w:tblPrEx>
        <w:trPr>
          <w:trHeight w:val="132" w:hRule="atLeast"/>
          <w:jc w:val="center"/>
        </w:trPr>
        <w:tc>
          <w:tcPr>
            <w:tcW w:w="1271" w:type="dxa"/>
            <w:tcBorders>
              <w:top w:val="nil"/>
              <w:left w:val="single" w:color="auto" w:sz="4" w:space="0"/>
              <w:bottom w:val="single" w:color="auto" w:sz="4" w:space="0"/>
              <w:right w:val="single" w:color="auto" w:sz="4" w:space="0"/>
            </w:tcBorders>
          </w:tcPr>
          <w:p>
            <w:pPr>
              <w:spacing w:line="24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1520</w:t>
            </w:r>
          </w:p>
        </w:tc>
        <w:tc>
          <w:tcPr>
            <w:tcW w:w="5697" w:type="dxa"/>
            <w:tcBorders>
              <w:top w:val="nil"/>
              <w:left w:val="single" w:color="auto" w:sz="4" w:space="0"/>
              <w:bottom w:val="single" w:color="auto" w:sz="4" w:space="0"/>
              <w:right w:val="single" w:color="auto" w:sz="4" w:space="0"/>
            </w:tcBorders>
            <w:shd w:val="clear" w:color="auto" w:fill="auto"/>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住宅与商业地产开发商</w:t>
            </w:r>
          </w:p>
        </w:tc>
      </w:tr>
      <w:tr>
        <w:tblPrEx>
          <w:tblCellMar>
            <w:top w:w="0" w:type="dxa"/>
            <w:left w:w="108" w:type="dxa"/>
            <w:bottom w:w="0" w:type="dxa"/>
            <w:right w:w="108" w:type="dxa"/>
          </w:tblCellMar>
        </w:tblPrEx>
        <w:trPr>
          <w:trHeight w:val="245" w:hRule="atLeast"/>
          <w:jc w:val="center"/>
        </w:trPr>
        <w:tc>
          <w:tcPr>
            <w:tcW w:w="1271" w:type="dxa"/>
            <w:tcBorders>
              <w:top w:val="nil"/>
              <w:left w:val="single" w:color="auto" w:sz="4" w:space="0"/>
              <w:bottom w:val="single" w:color="auto" w:sz="4" w:space="0"/>
              <w:right w:val="single" w:color="auto" w:sz="4" w:space="0"/>
            </w:tcBorders>
          </w:tcPr>
          <w:p>
            <w:pPr>
              <w:spacing w:line="24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1771</w:t>
            </w:r>
          </w:p>
        </w:tc>
        <w:tc>
          <w:tcPr>
            <w:tcW w:w="5697" w:type="dxa"/>
            <w:tcBorders>
              <w:top w:val="nil"/>
              <w:left w:val="single" w:color="auto" w:sz="4" w:space="0"/>
              <w:bottom w:val="single" w:color="auto" w:sz="4" w:space="0"/>
              <w:right w:val="single" w:color="auto" w:sz="4" w:space="0"/>
            </w:tcBorders>
            <w:shd w:val="clear" w:color="auto" w:fill="auto"/>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建设工程</w:t>
            </w:r>
          </w:p>
        </w:tc>
      </w:tr>
      <w:tr>
        <w:tblPrEx>
          <w:tblCellMar>
            <w:top w:w="0" w:type="dxa"/>
            <w:left w:w="108" w:type="dxa"/>
            <w:bottom w:w="0" w:type="dxa"/>
            <w:right w:w="108" w:type="dxa"/>
          </w:tblCellMar>
        </w:tblPrEx>
        <w:trPr>
          <w:trHeight w:val="70" w:hRule="atLeast"/>
          <w:jc w:val="center"/>
        </w:trPr>
        <w:tc>
          <w:tcPr>
            <w:tcW w:w="1271" w:type="dxa"/>
            <w:tcBorders>
              <w:top w:val="nil"/>
              <w:left w:val="single" w:color="auto" w:sz="4" w:space="0"/>
              <w:bottom w:val="single" w:color="auto" w:sz="4" w:space="0"/>
              <w:right w:val="single" w:color="auto" w:sz="4" w:space="0"/>
            </w:tcBorders>
          </w:tcPr>
          <w:p>
            <w:pPr>
              <w:spacing w:line="24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7013</w:t>
            </w:r>
          </w:p>
        </w:tc>
        <w:tc>
          <w:tcPr>
            <w:tcW w:w="5697" w:type="dxa"/>
            <w:tcBorders>
              <w:top w:val="nil"/>
              <w:left w:val="single" w:color="auto" w:sz="4" w:space="0"/>
              <w:bottom w:val="single" w:color="auto" w:sz="4" w:space="0"/>
              <w:right w:val="single" w:color="auto" w:sz="4" w:space="0"/>
            </w:tcBorders>
            <w:shd w:val="clear" w:color="auto" w:fill="auto"/>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房产代理、经纪</w:t>
            </w:r>
          </w:p>
        </w:tc>
      </w:tr>
      <w:tr>
        <w:tblPrEx>
          <w:tblCellMar>
            <w:top w:w="0" w:type="dxa"/>
            <w:left w:w="108" w:type="dxa"/>
            <w:bottom w:w="0" w:type="dxa"/>
            <w:right w:w="108" w:type="dxa"/>
          </w:tblCellMar>
        </w:tblPrEx>
        <w:trPr>
          <w:trHeight w:val="90" w:hRule="atLeast"/>
          <w:jc w:val="center"/>
        </w:trPr>
        <w:tc>
          <w:tcPr>
            <w:tcW w:w="1271" w:type="dxa"/>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8211</w:t>
            </w:r>
          </w:p>
        </w:tc>
        <w:tc>
          <w:tcPr>
            <w:tcW w:w="5697" w:type="dxa"/>
            <w:tcBorders>
              <w:top w:val="nil"/>
              <w:left w:val="single" w:color="auto" w:sz="4" w:space="0"/>
              <w:bottom w:val="single" w:color="auto" w:sz="4" w:space="0"/>
              <w:right w:val="single" w:color="auto" w:sz="4" w:space="0"/>
            </w:tcBorders>
            <w:shd w:val="clear" w:color="auto" w:fill="auto"/>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中小学校</w:t>
            </w:r>
          </w:p>
        </w:tc>
      </w:tr>
      <w:tr>
        <w:tblPrEx>
          <w:tblCellMar>
            <w:top w:w="0" w:type="dxa"/>
            <w:left w:w="108" w:type="dxa"/>
            <w:bottom w:w="0" w:type="dxa"/>
            <w:right w:w="108" w:type="dxa"/>
          </w:tblCellMar>
        </w:tblPrEx>
        <w:trPr>
          <w:trHeight w:val="245" w:hRule="atLeast"/>
          <w:jc w:val="center"/>
        </w:trPr>
        <w:tc>
          <w:tcPr>
            <w:tcW w:w="1271" w:type="dxa"/>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8220</w:t>
            </w:r>
          </w:p>
        </w:tc>
        <w:tc>
          <w:tcPr>
            <w:tcW w:w="5697" w:type="dxa"/>
            <w:tcBorders>
              <w:top w:val="nil"/>
              <w:left w:val="single" w:color="auto" w:sz="4" w:space="0"/>
              <w:bottom w:val="single" w:color="auto" w:sz="4" w:space="0"/>
              <w:right w:val="single" w:color="auto" w:sz="4" w:space="0"/>
            </w:tcBorders>
            <w:shd w:val="clear" w:color="auto" w:fill="auto"/>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普通高校</w:t>
            </w:r>
          </w:p>
        </w:tc>
      </w:tr>
      <w:tr>
        <w:tblPrEx>
          <w:tblCellMar>
            <w:top w:w="0" w:type="dxa"/>
            <w:left w:w="108" w:type="dxa"/>
            <w:bottom w:w="0" w:type="dxa"/>
            <w:right w:w="108" w:type="dxa"/>
          </w:tblCellMar>
        </w:tblPrEx>
        <w:trPr>
          <w:trHeight w:val="239" w:hRule="atLeast"/>
          <w:jc w:val="center"/>
        </w:trPr>
        <w:tc>
          <w:tcPr>
            <w:tcW w:w="1271" w:type="dxa"/>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8241</w:t>
            </w:r>
          </w:p>
        </w:tc>
        <w:tc>
          <w:tcPr>
            <w:tcW w:w="5697" w:type="dxa"/>
            <w:tcBorders>
              <w:top w:val="nil"/>
              <w:left w:val="single" w:color="auto" w:sz="4" w:space="0"/>
              <w:bottom w:val="single" w:color="auto" w:sz="4" w:space="0"/>
              <w:right w:val="single" w:color="auto" w:sz="4" w:space="0"/>
            </w:tcBorders>
            <w:shd w:val="clear" w:color="auto" w:fill="auto"/>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函授学校（成人教育）</w:t>
            </w:r>
          </w:p>
        </w:tc>
      </w:tr>
      <w:tr>
        <w:tblPrEx>
          <w:tblCellMar>
            <w:top w:w="0" w:type="dxa"/>
            <w:left w:w="108" w:type="dxa"/>
            <w:bottom w:w="0" w:type="dxa"/>
            <w:right w:w="108" w:type="dxa"/>
          </w:tblCellMar>
        </w:tblPrEx>
        <w:trPr>
          <w:trHeight w:val="201" w:hRule="atLeast"/>
          <w:jc w:val="center"/>
        </w:trPr>
        <w:tc>
          <w:tcPr>
            <w:tcW w:w="1271" w:type="dxa"/>
            <w:tcBorders>
              <w:top w:val="nil"/>
              <w:left w:val="single" w:color="auto" w:sz="4" w:space="0"/>
              <w:bottom w:val="single" w:color="auto" w:sz="4" w:space="0"/>
              <w:right w:val="single" w:color="auto" w:sz="4" w:space="0"/>
            </w:tcBorders>
          </w:tcPr>
          <w:p>
            <w:pPr>
              <w:spacing w:line="24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8244</w:t>
            </w:r>
          </w:p>
        </w:tc>
        <w:tc>
          <w:tcPr>
            <w:tcW w:w="5697" w:type="dxa"/>
            <w:tcBorders>
              <w:top w:val="nil"/>
              <w:left w:val="single" w:color="auto" w:sz="4" w:space="0"/>
              <w:bottom w:val="single" w:color="auto" w:sz="4" w:space="0"/>
              <w:right w:val="single" w:color="auto" w:sz="4" w:space="0"/>
            </w:tcBorders>
            <w:shd w:val="clear" w:color="auto" w:fill="auto"/>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商业和文秘学校</w:t>
            </w:r>
          </w:p>
        </w:tc>
      </w:tr>
      <w:tr>
        <w:tblPrEx>
          <w:tblCellMar>
            <w:top w:w="0" w:type="dxa"/>
            <w:left w:w="108" w:type="dxa"/>
            <w:bottom w:w="0" w:type="dxa"/>
            <w:right w:w="108" w:type="dxa"/>
          </w:tblCellMar>
        </w:tblPrEx>
        <w:trPr>
          <w:trHeight w:val="163" w:hRule="atLeast"/>
          <w:jc w:val="center"/>
        </w:trPr>
        <w:tc>
          <w:tcPr>
            <w:tcW w:w="1271" w:type="dxa"/>
            <w:tcBorders>
              <w:top w:val="nil"/>
              <w:left w:val="single" w:color="auto" w:sz="4" w:space="0"/>
              <w:bottom w:val="single" w:color="auto" w:sz="4" w:space="0"/>
              <w:right w:val="single" w:color="auto" w:sz="4" w:space="0"/>
            </w:tcBorders>
          </w:tcPr>
          <w:p>
            <w:pPr>
              <w:spacing w:line="24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8249</w:t>
            </w:r>
          </w:p>
        </w:tc>
        <w:tc>
          <w:tcPr>
            <w:tcW w:w="5697" w:type="dxa"/>
            <w:tcBorders>
              <w:top w:val="nil"/>
              <w:left w:val="single" w:color="auto" w:sz="4" w:space="0"/>
              <w:bottom w:val="single" w:color="auto" w:sz="4" w:space="0"/>
              <w:right w:val="single" w:color="auto" w:sz="4" w:space="0"/>
            </w:tcBorders>
            <w:shd w:val="clear" w:color="auto" w:fill="auto"/>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职业技能培训</w:t>
            </w:r>
          </w:p>
        </w:tc>
      </w:tr>
      <w:tr>
        <w:tblPrEx>
          <w:tblCellMar>
            <w:top w:w="0" w:type="dxa"/>
            <w:left w:w="108" w:type="dxa"/>
            <w:bottom w:w="0" w:type="dxa"/>
            <w:right w:w="108" w:type="dxa"/>
          </w:tblCellMar>
        </w:tblPrEx>
        <w:trPr>
          <w:trHeight w:val="245" w:hRule="atLeast"/>
          <w:jc w:val="center"/>
        </w:trPr>
        <w:tc>
          <w:tcPr>
            <w:tcW w:w="1271" w:type="dxa"/>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8351</w:t>
            </w:r>
          </w:p>
        </w:tc>
        <w:tc>
          <w:tcPr>
            <w:tcW w:w="5697" w:type="dxa"/>
            <w:tcBorders>
              <w:top w:val="nil"/>
              <w:left w:val="single" w:color="auto" w:sz="4" w:space="0"/>
              <w:bottom w:val="single" w:color="auto" w:sz="4" w:space="0"/>
              <w:right w:val="single" w:color="auto" w:sz="4" w:space="0"/>
            </w:tcBorders>
            <w:shd w:val="clear" w:color="auto" w:fill="auto"/>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学前教育</w:t>
            </w:r>
          </w:p>
        </w:tc>
      </w:tr>
      <w:tr>
        <w:tblPrEx>
          <w:tblCellMar>
            <w:top w:w="0" w:type="dxa"/>
            <w:left w:w="108" w:type="dxa"/>
            <w:bottom w:w="0" w:type="dxa"/>
            <w:right w:w="108" w:type="dxa"/>
          </w:tblCellMar>
        </w:tblPrEx>
        <w:trPr>
          <w:trHeight w:val="357" w:hRule="atLeast"/>
          <w:jc w:val="center"/>
        </w:trPr>
        <w:tc>
          <w:tcPr>
            <w:tcW w:w="1271" w:type="dxa"/>
            <w:tcBorders>
              <w:top w:val="nil"/>
              <w:left w:val="single" w:color="auto" w:sz="4" w:space="0"/>
              <w:bottom w:val="single" w:color="auto" w:sz="4" w:space="0"/>
              <w:right w:val="single" w:color="auto" w:sz="4" w:space="0"/>
            </w:tcBorders>
          </w:tcPr>
          <w:p>
            <w:pPr>
              <w:spacing w:line="24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8299</w:t>
            </w:r>
          </w:p>
        </w:tc>
        <w:tc>
          <w:tcPr>
            <w:tcW w:w="5697" w:type="dxa"/>
            <w:tcBorders>
              <w:top w:val="nil"/>
              <w:left w:val="single" w:color="auto" w:sz="4" w:space="0"/>
              <w:bottom w:val="single" w:color="auto" w:sz="4" w:space="0"/>
              <w:right w:val="single" w:color="auto" w:sz="4" w:space="0"/>
            </w:tcBorders>
            <w:shd w:val="clear" w:color="auto" w:fill="auto"/>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其他学校和教育服务</w:t>
            </w:r>
          </w:p>
        </w:tc>
      </w:tr>
      <w:tr>
        <w:tblPrEx>
          <w:tblCellMar>
            <w:top w:w="0" w:type="dxa"/>
            <w:left w:w="108" w:type="dxa"/>
            <w:bottom w:w="0" w:type="dxa"/>
            <w:right w:w="108" w:type="dxa"/>
          </w:tblCellMar>
        </w:tblPrEx>
        <w:trPr>
          <w:trHeight w:val="277" w:hRule="atLeast"/>
          <w:jc w:val="center"/>
        </w:trPr>
        <w:tc>
          <w:tcPr>
            <w:tcW w:w="1271" w:type="dxa"/>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8011</w:t>
            </w:r>
          </w:p>
        </w:tc>
        <w:tc>
          <w:tcPr>
            <w:tcW w:w="5697" w:type="dxa"/>
            <w:tcBorders>
              <w:top w:val="nil"/>
              <w:left w:val="single" w:color="auto" w:sz="4" w:space="0"/>
              <w:bottom w:val="single" w:color="auto" w:sz="4" w:space="0"/>
              <w:right w:val="single" w:color="auto" w:sz="4" w:space="0"/>
            </w:tcBorders>
            <w:shd w:val="clear" w:color="auto" w:fill="auto"/>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其他医疗机构</w:t>
            </w:r>
          </w:p>
        </w:tc>
      </w:tr>
      <w:tr>
        <w:tblPrEx>
          <w:tblCellMar>
            <w:top w:w="0" w:type="dxa"/>
            <w:left w:w="108" w:type="dxa"/>
            <w:bottom w:w="0" w:type="dxa"/>
            <w:right w:w="108" w:type="dxa"/>
          </w:tblCellMar>
        </w:tblPrEx>
        <w:trPr>
          <w:trHeight w:val="90" w:hRule="atLeast"/>
          <w:jc w:val="center"/>
        </w:trPr>
        <w:tc>
          <w:tcPr>
            <w:tcW w:w="1271" w:type="dxa"/>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8021</w:t>
            </w:r>
          </w:p>
        </w:tc>
        <w:tc>
          <w:tcPr>
            <w:tcW w:w="5697" w:type="dxa"/>
            <w:tcBorders>
              <w:top w:val="nil"/>
              <w:left w:val="single" w:color="auto" w:sz="4" w:space="0"/>
              <w:bottom w:val="single" w:color="auto" w:sz="4" w:space="0"/>
              <w:right w:val="single" w:color="auto" w:sz="4" w:space="0"/>
            </w:tcBorders>
            <w:shd w:val="clear" w:color="auto" w:fill="auto"/>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牙科诊所</w:t>
            </w:r>
          </w:p>
        </w:tc>
      </w:tr>
      <w:tr>
        <w:tblPrEx>
          <w:tblCellMar>
            <w:top w:w="0" w:type="dxa"/>
            <w:left w:w="108" w:type="dxa"/>
            <w:bottom w:w="0" w:type="dxa"/>
            <w:right w:w="108" w:type="dxa"/>
          </w:tblCellMar>
        </w:tblPrEx>
        <w:trPr>
          <w:trHeight w:val="245" w:hRule="atLeast"/>
          <w:jc w:val="center"/>
        </w:trPr>
        <w:tc>
          <w:tcPr>
            <w:tcW w:w="1271" w:type="dxa"/>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8031</w:t>
            </w:r>
          </w:p>
        </w:tc>
        <w:tc>
          <w:tcPr>
            <w:tcW w:w="5697" w:type="dxa"/>
            <w:tcBorders>
              <w:top w:val="nil"/>
              <w:left w:val="single" w:color="auto" w:sz="4" w:space="0"/>
              <w:bottom w:val="single" w:color="auto" w:sz="4" w:space="0"/>
              <w:right w:val="single" w:color="auto" w:sz="4" w:space="0"/>
            </w:tcBorders>
            <w:shd w:val="clear" w:color="auto" w:fill="auto"/>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正骨医生</w:t>
            </w:r>
          </w:p>
        </w:tc>
      </w:tr>
      <w:tr>
        <w:tblPrEx>
          <w:tblCellMar>
            <w:top w:w="0" w:type="dxa"/>
            <w:left w:w="108" w:type="dxa"/>
            <w:bottom w:w="0" w:type="dxa"/>
            <w:right w:w="108" w:type="dxa"/>
          </w:tblCellMar>
        </w:tblPrEx>
        <w:trPr>
          <w:trHeight w:val="245" w:hRule="atLeast"/>
          <w:jc w:val="center"/>
        </w:trPr>
        <w:tc>
          <w:tcPr>
            <w:tcW w:w="1271" w:type="dxa"/>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8041</w:t>
            </w:r>
          </w:p>
        </w:tc>
        <w:tc>
          <w:tcPr>
            <w:tcW w:w="5697" w:type="dxa"/>
            <w:tcBorders>
              <w:top w:val="nil"/>
              <w:left w:val="single" w:color="auto" w:sz="4" w:space="0"/>
              <w:bottom w:val="single" w:color="auto" w:sz="4" w:space="0"/>
              <w:right w:val="single" w:color="auto" w:sz="4" w:space="0"/>
            </w:tcBorders>
            <w:shd w:val="clear" w:color="auto" w:fill="auto"/>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按摩医生</w:t>
            </w:r>
          </w:p>
        </w:tc>
      </w:tr>
      <w:tr>
        <w:tblPrEx>
          <w:tblCellMar>
            <w:top w:w="0" w:type="dxa"/>
            <w:left w:w="108" w:type="dxa"/>
            <w:bottom w:w="0" w:type="dxa"/>
            <w:right w:w="108" w:type="dxa"/>
          </w:tblCellMar>
        </w:tblPrEx>
        <w:trPr>
          <w:trHeight w:val="245" w:hRule="atLeast"/>
          <w:jc w:val="center"/>
        </w:trPr>
        <w:tc>
          <w:tcPr>
            <w:tcW w:w="1271" w:type="dxa"/>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8042</w:t>
            </w:r>
          </w:p>
        </w:tc>
        <w:tc>
          <w:tcPr>
            <w:tcW w:w="5697" w:type="dxa"/>
            <w:tcBorders>
              <w:top w:val="nil"/>
              <w:left w:val="single" w:color="auto" w:sz="4" w:space="0"/>
              <w:bottom w:val="single" w:color="auto" w:sz="4" w:space="0"/>
              <w:right w:val="single" w:color="auto" w:sz="4" w:space="0"/>
            </w:tcBorders>
            <w:shd w:val="clear" w:color="auto" w:fill="auto"/>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眼科医生</w:t>
            </w:r>
          </w:p>
        </w:tc>
      </w:tr>
      <w:tr>
        <w:tblPrEx>
          <w:tblCellMar>
            <w:top w:w="0" w:type="dxa"/>
            <w:left w:w="108" w:type="dxa"/>
            <w:bottom w:w="0" w:type="dxa"/>
            <w:right w:w="108" w:type="dxa"/>
          </w:tblCellMar>
        </w:tblPrEx>
        <w:trPr>
          <w:trHeight w:val="230" w:hRule="atLeast"/>
          <w:jc w:val="center"/>
        </w:trPr>
        <w:tc>
          <w:tcPr>
            <w:tcW w:w="1271" w:type="dxa"/>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8049</w:t>
            </w:r>
          </w:p>
        </w:tc>
        <w:tc>
          <w:tcPr>
            <w:tcW w:w="5697" w:type="dxa"/>
            <w:tcBorders>
              <w:top w:val="nil"/>
              <w:left w:val="single" w:color="auto" w:sz="4" w:space="0"/>
              <w:bottom w:val="single" w:color="auto" w:sz="4" w:space="0"/>
              <w:right w:val="single" w:color="auto" w:sz="4" w:space="0"/>
            </w:tcBorders>
            <w:shd w:val="clear" w:color="auto" w:fill="auto"/>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手足病医生</w:t>
            </w:r>
          </w:p>
        </w:tc>
      </w:tr>
      <w:tr>
        <w:tblPrEx>
          <w:tblCellMar>
            <w:top w:w="0" w:type="dxa"/>
            <w:left w:w="108" w:type="dxa"/>
            <w:bottom w:w="0" w:type="dxa"/>
            <w:right w:w="108" w:type="dxa"/>
          </w:tblCellMar>
        </w:tblPrEx>
        <w:trPr>
          <w:trHeight w:val="191" w:hRule="atLeast"/>
          <w:jc w:val="center"/>
        </w:trPr>
        <w:tc>
          <w:tcPr>
            <w:tcW w:w="1271" w:type="dxa"/>
            <w:tcBorders>
              <w:top w:val="nil"/>
              <w:left w:val="single" w:color="auto" w:sz="4" w:space="0"/>
              <w:bottom w:val="single" w:color="auto" w:sz="4" w:space="0"/>
              <w:right w:val="single" w:color="auto" w:sz="4" w:space="0"/>
            </w:tcBorders>
          </w:tcPr>
          <w:p>
            <w:pPr>
              <w:spacing w:line="24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8050</w:t>
            </w:r>
          </w:p>
        </w:tc>
        <w:tc>
          <w:tcPr>
            <w:tcW w:w="5697" w:type="dxa"/>
            <w:tcBorders>
              <w:top w:val="nil"/>
              <w:left w:val="single" w:color="auto" w:sz="4" w:space="0"/>
              <w:bottom w:val="single" w:color="auto" w:sz="4" w:space="0"/>
              <w:right w:val="single" w:color="auto" w:sz="4" w:space="0"/>
            </w:tcBorders>
            <w:shd w:val="clear" w:color="auto" w:fill="auto"/>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医疗护理和看护服务</w:t>
            </w:r>
          </w:p>
        </w:tc>
      </w:tr>
      <w:tr>
        <w:tblPrEx>
          <w:tblCellMar>
            <w:top w:w="0" w:type="dxa"/>
            <w:left w:w="108" w:type="dxa"/>
            <w:bottom w:w="0" w:type="dxa"/>
            <w:right w:w="108" w:type="dxa"/>
          </w:tblCellMar>
        </w:tblPrEx>
        <w:trPr>
          <w:trHeight w:val="245" w:hRule="atLeast"/>
          <w:jc w:val="center"/>
        </w:trPr>
        <w:tc>
          <w:tcPr>
            <w:tcW w:w="1271" w:type="dxa"/>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8062</w:t>
            </w:r>
          </w:p>
        </w:tc>
        <w:tc>
          <w:tcPr>
            <w:tcW w:w="5697" w:type="dxa"/>
            <w:tcBorders>
              <w:top w:val="nil"/>
              <w:left w:val="single" w:color="auto" w:sz="4" w:space="0"/>
              <w:bottom w:val="single" w:color="auto" w:sz="4" w:space="0"/>
              <w:right w:val="single" w:color="auto" w:sz="4" w:space="0"/>
            </w:tcBorders>
            <w:shd w:val="clear" w:color="auto" w:fill="auto"/>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医院</w:t>
            </w:r>
          </w:p>
        </w:tc>
      </w:tr>
      <w:tr>
        <w:tblPrEx>
          <w:tblCellMar>
            <w:top w:w="0" w:type="dxa"/>
            <w:left w:w="108" w:type="dxa"/>
            <w:bottom w:w="0" w:type="dxa"/>
            <w:right w:w="108" w:type="dxa"/>
          </w:tblCellMar>
        </w:tblPrEx>
        <w:trPr>
          <w:trHeight w:val="257" w:hRule="atLeast"/>
          <w:jc w:val="center"/>
        </w:trPr>
        <w:tc>
          <w:tcPr>
            <w:tcW w:w="1271" w:type="dxa"/>
            <w:tcBorders>
              <w:top w:val="nil"/>
              <w:left w:val="single" w:color="auto" w:sz="4" w:space="0"/>
              <w:bottom w:val="single" w:color="auto" w:sz="4" w:space="0"/>
              <w:right w:val="single" w:color="auto" w:sz="4" w:space="0"/>
            </w:tcBorders>
          </w:tcPr>
          <w:p>
            <w:pPr>
              <w:spacing w:line="24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8071</w:t>
            </w:r>
          </w:p>
        </w:tc>
        <w:tc>
          <w:tcPr>
            <w:tcW w:w="5697" w:type="dxa"/>
            <w:tcBorders>
              <w:top w:val="nil"/>
              <w:left w:val="single" w:color="auto" w:sz="4" w:space="0"/>
              <w:bottom w:val="single" w:color="auto" w:sz="4" w:space="0"/>
              <w:right w:val="single" w:color="auto" w:sz="4" w:space="0"/>
            </w:tcBorders>
            <w:shd w:val="clear" w:color="auto" w:fill="auto"/>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医学检验与牙科设备服务</w:t>
            </w:r>
          </w:p>
        </w:tc>
      </w:tr>
      <w:tr>
        <w:tblPrEx>
          <w:tblCellMar>
            <w:top w:w="0" w:type="dxa"/>
            <w:left w:w="108" w:type="dxa"/>
            <w:bottom w:w="0" w:type="dxa"/>
            <w:right w:w="108" w:type="dxa"/>
          </w:tblCellMar>
        </w:tblPrEx>
        <w:trPr>
          <w:trHeight w:val="361" w:hRule="atLeast"/>
          <w:jc w:val="center"/>
        </w:trPr>
        <w:tc>
          <w:tcPr>
            <w:tcW w:w="1271" w:type="dxa"/>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8099</w:t>
            </w:r>
          </w:p>
        </w:tc>
        <w:tc>
          <w:tcPr>
            <w:tcW w:w="5697" w:type="dxa"/>
            <w:tcBorders>
              <w:top w:val="nil"/>
              <w:left w:val="single" w:color="auto" w:sz="4" w:space="0"/>
              <w:bottom w:val="single" w:color="auto" w:sz="4" w:space="0"/>
              <w:right w:val="single" w:color="auto" w:sz="4" w:space="0"/>
            </w:tcBorders>
            <w:shd w:val="clear" w:color="auto" w:fill="auto"/>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公共卫生服务机构</w:t>
            </w:r>
          </w:p>
        </w:tc>
      </w:tr>
      <w:tr>
        <w:tblPrEx>
          <w:tblCellMar>
            <w:top w:w="0" w:type="dxa"/>
            <w:left w:w="108" w:type="dxa"/>
            <w:bottom w:w="0" w:type="dxa"/>
            <w:right w:w="108" w:type="dxa"/>
          </w:tblCellMar>
        </w:tblPrEx>
        <w:trPr>
          <w:trHeight w:val="245" w:hRule="atLeast"/>
          <w:jc w:val="center"/>
        </w:trPr>
        <w:tc>
          <w:tcPr>
            <w:tcW w:w="1271" w:type="dxa"/>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4458</w:t>
            </w:r>
          </w:p>
        </w:tc>
        <w:tc>
          <w:tcPr>
            <w:tcW w:w="5697" w:type="dxa"/>
            <w:tcBorders>
              <w:top w:val="nil"/>
              <w:left w:val="single" w:color="auto" w:sz="4" w:space="0"/>
              <w:bottom w:val="single" w:color="auto" w:sz="4" w:space="0"/>
              <w:right w:val="single" w:color="auto" w:sz="4" w:space="0"/>
            </w:tcBorders>
            <w:shd w:val="clear" w:color="auto" w:fill="auto"/>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烟草配送</w:t>
            </w:r>
          </w:p>
        </w:tc>
      </w:tr>
      <w:tr>
        <w:tblPrEx>
          <w:tblCellMar>
            <w:top w:w="0" w:type="dxa"/>
            <w:left w:w="108" w:type="dxa"/>
            <w:bottom w:w="0" w:type="dxa"/>
            <w:right w:w="108" w:type="dxa"/>
          </w:tblCellMar>
        </w:tblPrEx>
        <w:trPr>
          <w:trHeight w:val="229" w:hRule="atLeast"/>
          <w:jc w:val="center"/>
        </w:trPr>
        <w:tc>
          <w:tcPr>
            <w:tcW w:w="1271" w:type="dxa"/>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5013</w:t>
            </w:r>
          </w:p>
        </w:tc>
        <w:tc>
          <w:tcPr>
            <w:tcW w:w="5697" w:type="dxa"/>
            <w:tcBorders>
              <w:top w:val="nil"/>
              <w:left w:val="single" w:color="auto" w:sz="4" w:space="0"/>
              <w:bottom w:val="single" w:color="auto" w:sz="4" w:space="0"/>
              <w:right w:val="single" w:color="auto" w:sz="4" w:space="0"/>
            </w:tcBorders>
            <w:shd w:val="clear" w:color="auto" w:fill="auto"/>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机动车、农机零配件批发</w:t>
            </w:r>
          </w:p>
        </w:tc>
      </w:tr>
      <w:tr>
        <w:tblPrEx>
          <w:tblCellMar>
            <w:top w:w="0" w:type="dxa"/>
            <w:left w:w="108" w:type="dxa"/>
            <w:bottom w:w="0" w:type="dxa"/>
            <w:right w:w="108" w:type="dxa"/>
          </w:tblCellMar>
        </w:tblPrEx>
        <w:trPr>
          <w:trHeight w:val="50" w:hRule="atLeast"/>
          <w:jc w:val="center"/>
        </w:trPr>
        <w:tc>
          <w:tcPr>
            <w:tcW w:w="1271" w:type="dxa"/>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5021</w:t>
            </w:r>
          </w:p>
        </w:tc>
        <w:tc>
          <w:tcPr>
            <w:tcW w:w="5697" w:type="dxa"/>
            <w:tcBorders>
              <w:top w:val="nil"/>
              <w:left w:val="single" w:color="auto" w:sz="4" w:space="0"/>
              <w:bottom w:val="single" w:color="auto" w:sz="4" w:space="0"/>
              <w:right w:val="single" w:color="auto" w:sz="4" w:space="0"/>
            </w:tcBorders>
            <w:shd w:val="clear" w:color="auto" w:fill="auto"/>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办公及商务家具批发</w:t>
            </w:r>
          </w:p>
        </w:tc>
      </w:tr>
      <w:tr>
        <w:tblPrEx>
          <w:tblCellMar>
            <w:top w:w="0" w:type="dxa"/>
            <w:left w:w="108" w:type="dxa"/>
            <w:bottom w:w="0" w:type="dxa"/>
            <w:right w:w="108" w:type="dxa"/>
          </w:tblCellMar>
        </w:tblPrEx>
        <w:trPr>
          <w:trHeight w:val="153" w:hRule="atLeast"/>
          <w:jc w:val="center"/>
        </w:trPr>
        <w:tc>
          <w:tcPr>
            <w:tcW w:w="1271" w:type="dxa"/>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5039</w:t>
            </w:r>
          </w:p>
        </w:tc>
        <w:tc>
          <w:tcPr>
            <w:tcW w:w="5697" w:type="dxa"/>
            <w:tcBorders>
              <w:top w:val="nil"/>
              <w:left w:val="single" w:color="auto" w:sz="4" w:space="0"/>
              <w:bottom w:val="single" w:color="auto" w:sz="4" w:space="0"/>
              <w:right w:val="single" w:color="auto" w:sz="4" w:space="0"/>
            </w:tcBorders>
            <w:shd w:val="clear" w:color="auto" w:fill="auto"/>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建筑装饰材料批发</w:t>
            </w:r>
          </w:p>
        </w:tc>
      </w:tr>
      <w:tr>
        <w:tblPrEx>
          <w:tblCellMar>
            <w:top w:w="0" w:type="dxa"/>
            <w:left w:w="108" w:type="dxa"/>
            <w:bottom w:w="0" w:type="dxa"/>
            <w:right w:w="108" w:type="dxa"/>
          </w:tblCellMar>
        </w:tblPrEx>
        <w:trPr>
          <w:trHeight w:val="50" w:hRule="atLeast"/>
          <w:jc w:val="center"/>
        </w:trPr>
        <w:tc>
          <w:tcPr>
            <w:tcW w:w="1271" w:type="dxa"/>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5044</w:t>
            </w:r>
          </w:p>
        </w:tc>
        <w:tc>
          <w:tcPr>
            <w:tcW w:w="5697" w:type="dxa"/>
            <w:tcBorders>
              <w:top w:val="nil"/>
              <w:left w:val="single" w:color="auto" w:sz="4" w:space="0"/>
              <w:bottom w:val="single" w:color="auto" w:sz="4" w:space="0"/>
              <w:right w:val="single" w:color="auto" w:sz="4" w:space="0"/>
            </w:tcBorders>
            <w:shd w:val="clear" w:color="auto" w:fill="auto"/>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办公设备批发商</w:t>
            </w:r>
          </w:p>
        </w:tc>
      </w:tr>
      <w:tr>
        <w:tblPrEx>
          <w:tblCellMar>
            <w:top w:w="0" w:type="dxa"/>
            <w:left w:w="108" w:type="dxa"/>
            <w:bottom w:w="0" w:type="dxa"/>
            <w:right w:w="108" w:type="dxa"/>
          </w:tblCellMar>
        </w:tblPrEx>
        <w:trPr>
          <w:trHeight w:val="77" w:hRule="atLeast"/>
          <w:jc w:val="center"/>
        </w:trPr>
        <w:tc>
          <w:tcPr>
            <w:tcW w:w="1271" w:type="dxa"/>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5045</w:t>
            </w:r>
          </w:p>
        </w:tc>
        <w:tc>
          <w:tcPr>
            <w:tcW w:w="5697" w:type="dxa"/>
            <w:tcBorders>
              <w:top w:val="nil"/>
              <w:left w:val="single" w:color="auto" w:sz="4" w:space="0"/>
              <w:bottom w:val="single" w:color="auto" w:sz="4" w:space="0"/>
              <w:right w:val="single" w:color="auto" w:sz="4" w:space="0"/>
            </w:tcBorders>
            <w:shd w:val="clear" w:color="auto" w:fill="auto"/>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计算机及外设批发</w:t>
            </w:r>
          </w:p>
        </w:tc>
      </w:tr>
      <w:tr>
        <w:tblPrEx>
          <w:tblCellMar>
            <w:top w:w="0" w:type="dxa"/>
            <w:left w:w="108" w:type="dxa"/>
            <w:bottom w:w="0" w:type="dxa"/>
            <w:right w:w="108" w:type="dxa"/>
          </w:tblCellMar>
        </w:tblPrEx>
        <w:trPr>
          <w:trHeight w:val="181" w:hRule="atLeast"/>
          <w:jc w:val="center"/>
        </w:trPr>
        <w:tc>
          <w:tcPr>
            <w:tcW w:w="1271" w:type="dxa"/>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5047</w:t>
            </w:r>
          </w:p>
        </w:tc>
        <w:tc>
          <w:tcPr>
            <w:tcW w:w="5697" w:type="dxa"/>
            <w:tcBorders>
              <w:top w:val="nil"/>
              <w:left w:val="single" w:color="auto" w:sz="4" w:space="0"/>
              <w:bottom w:val="single" w:color="auto" w:sz="4" w:space="0"/>
              <w:right w:val="single" w:color="auto" w:sz="4" w:space="0"/>
            </w:tcBorders>
            <w:shd w:val="clear" w:color="auto" w:fill="auto"/>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医疗器械批发</w:t>
            </w:r>
          </w:p>
        </w:tc>
      </w:tr>
      <w:tr>
        <w:tblPrEx>
          <w:tblCellMar>
            <w:top w:w="0" w:type="dxa"/>
            <w:left w:w="108" w:type="dxa"/>
            <w:bottom w:w="0" w:type="dxa"/>
            <w:right w:w="108" w:type="dxa"/>
          </w:tblCellMar>
        </w:tblPrEx>
        <w:trPr>
          <w:trHeight w:val="285" w:hRule="atLeast"/>
          <w:jc w:val="center"/>
        </w:trPr>
        <w:tc>
          <w:tcPr>
            <w:tcW w:w="1271" w:type="dxa"/>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5051</w:t>
            </w:r>
          </w:p>
        </w:tc>
        <w:tc>
          <w:tcPr>
            <w:tcW w:w="5697" w:type="dxa"/>
            <w:tcBorders>
              <w:top w:val="nil"/>
              <w:left w:val="single" w:color="auto" w:sz="4" w:space="0"/>
              <w:bottom w:val="single" w:color="auto" w:sz="4" w:space="0"/>
              <w:right w:val="single" w:color="auto" w:sz="4" w:space="0"/>
            </w:tcBorders>
            <w:shd w:val="clear" w:color="auto" w:fill="auto"/>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金属材料批发</w:t>
            </w:r>
          </w:p>
        </w:tc>
      </w:tr>
      <w:tr>
        <w:tblPrEx>
          <w:tblCellMar>
            <w:top w:w="0" w:type="dxa"/>
            <w:left w:w="108" w:type="dxa"/>
            <w:bottom w:w="0" w:type="dxa"/>
            <w:right w:w="108" w:type="dxa"/>
          </w:tblCellMar>
        </w:tblPrEx>
        <w:trPr>
          <w:trHeight w:val="274" w:hRule="atLeast"/>
          <w:jc w:val="center"/>
        </w:trPr>
        <w:tc>
          <w:tcPr>
            <w:tcW w:w="1271" w:type="dxa"/>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5065</w:t>
            </w:r>
          </w:p>
        </w:tc>
        <w:tc>
          <w:tcPr>
            <w:tcW w:w="5697" w:type="dxa"/>
            <w:tcBorders>
              <w:top w:val="nil"/>
              <w:left w:val="single" w:color="auto" w:sz="4" w:space="0"/>
              <w:bottom w:val="single" w:color="auto" w:sz="4" w:space="0"/>
              <w:right w:val="single" w:color="auto" w:sz="4" w:space="0"/>
            </w:tcBorders>
            <w:shd w:val="clear" w:color="auto" w:fill="auto"/>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电器零件与通信器材批发</w:t>
            </w:r>
          </w:p>
        </w:tc>
      </w:tr>
      <w:tr>
        <w:tblPrEx>
          <w:tblCellMar>
            <w:top w:w="0" w:type="dxa"/>
            <w:left w:w="108" w:type="dxa"/>
            <w:bottom w:w="0" w:type="dxa"/>
            <w:right w:w="108" w:type="dxa"/>
          </w:tblCellMar>
        </w:tblPrEx>
        <w:trPr>
          <w:trHeight w:val="245" w:hRule="atLeast"/>
          <w:jc w:val="center"/>
        </w:trPr>
        <w:tc>
          <w:tcPr>
            <w:tcW w:w="1271" w:type="dxa"/>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5072</w:t>
            </w:r>
          </w:p>
        </w:tc>
        <w:tc>
          <w:tcPr>
            <w:tcW w:w="5697" w:type="dxa"/>
            <w:tcBorders>
              <w:top w:val="nil"/>
              <w:left w:val="single" w:color="auto" w:sz="4" w:space="0"/>
              <w:bottom w:val="single" w:color="auto" w:sz="4" w:space="0"/>
              <w:right w:val="single" w:color="auto" w:sz="4" w:space="0"/>
            </w:tcBorders>
            <w:shd w:val="clear" w:color="auto" w:fill="auto"/>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五金批发</w:t>
            </w:r>
          </w:p>
        </w:tc>
      </w:tr>
      <w:tr>
        <w:tblPrEx>
          <w:tblCellMar>
            <w:top w:w="0" w:type="dxa"/>
            <w:left w:w="108" w:type="dxa"/>
            <w:bottom w:w="0" w:type="dxa"/>
            <w:right w:w="108" w:type="dxa"/>
          </w:tblCellMar>
        </w:tblPrEx>
        <w:trPr>
          <w:trHeight w:val="118" w:hRule="atLeast"/>
          <w:jc w:val="center"/>
        </w:trPr>
        <w:tc>
          <w:tcPr>
            <w:tcW w:w="1271" w:type="dxa"/>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5074</w:t>
            </w:r>
          </w:p>
        </w:tc>
        <w:tc>
          <w:tcPr>
            <w:tcW w:w="5697" w:type="dxa"/>
            <w:tcBorders>
              <w:top w:val="nil"/>
              <w:left w:val="single" w:color="auto" w:sz="4" w:space="0"/>
              <w:bottom w:val="single" w:color="auto" w:sz="4" w:space="0"/>
              <w:right w:val="single" w:color="auto" w:sz="4" w:space="0"/>
            </w:tcBorders>
            <w:shd w:val="clear" w:color="auto" w:fill="auto"/>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管道与供暖设备批发</w:t>
            </w:r>
          </w:p>
        </w:tc>
      </w:tr>
      <w:tr>
        <w:tblPrEx>
          <w:tblCellMar>
            <w:top w:w="0" w:type="dxa"/>
            <w:left w:w="108" w:type="dxa"/>
            <w:bottom w:w="0" w:type="dxa"/>
            <w:right w:w="108" w:type="dxa"/>
          </w:tblCellMar>
        </w:tblPrEx>
        <w:trPr>
          <w:trHeight w:val="222" w:hRule="atLeast"/>
          <w:jc w:val="center"/>
        </w:trPr>
        <w:tc>
          <w:tcPr>
            <w:tcW w:w="1271" w:type="dxa"/>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5111</w:t>
            </w:r>
          </w:p>
        </w:tc>
        <w:tc>
          <w:tcPr>
            <w:tcW w:w="5697" w:type="dxa"/>
            <w:tcBorders>
              <w:top w:val="nil"/>
              <w:left w:val="single" w:color="auto" w:sz="4" w:space="0"/>
              <w:bottom w:val="single" w:color="auto" w:sz="4" w:space="0"/>
              <w:right w:val="single" w:color="auto" w:sz="4" w:space="0"/>
            </w:tcBorders>
            <w:shd w:val="clear" w:color="auto" w:fill="auto"/>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文教用品批发</w:t>
            </w:r>
          </w:p>
        </w:tc>
      </w:tr>
      <w:tr>
        <w:tblPrEx>
          <w:tblCellMar>
            <w:top w:w="0" w:type="dxa"/>
            <w:left w:w="108" w:type="dxa"/>
            <w:bottom w:w="0" w:type="dxa"/>
            <w:right w:w="108" w:type="dxa"/>
          </w:tblCellMar>
        </w:tblPrEx>
        <w:trPr>
          <w:trHeight w:val="245" w:hRule="atLeast"/>
          <w:jc w:val="center"/>
        </w:trPr>
        <w:tc>
          <w:tcPr>
            <w:tcW w:w="1271" w:type="dxa"/>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5122</w:t>
            </w:r>
          </w:p>
        </w:tc>
        <w:tc>
          <w:tcPr>
            <w:tcW w:w="5697" w:type="dxa"/>
            <w:tcBorders>
              <w:top w:val="nil"/>
              <w:left w:val="single" w:color="auto" w:sz="4" w:space="0"/>
              <w:bottom w:val="single" w:color="auto" w:sz="4" w:space="0"/>
              <w:right w:val="single" w:color="auto" w:sz="4" w:space="0"/>
            </w:tcBorders>
            <w:shd w:val="clear" w:color="auto" w:fill="auto"/>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药品批发</w:t>
            </w:r>
          </w:p>
        </w:tc>
      </w:tr>
      <w:tr>
        <w:tblPrEx>
          <w:tblCellMar>
            <w:top w:w="0" w:type="dxa"/>
            <w:left w:w="108" w:type="dxa"/>
            <w:bottom w:w="0" w:type="dxa"/>
            <w:right w:w="108" w:type="dxa"/>
          </w:tblCellMar>
        </w:tblPrEx>
        <w:trPr>
          <w:trHeight w:val="145" w:hRule="atLeast"/>
          <w:jc w:val="center"/>
        </w:trPr>
        <w:tc>
          <w:tcPr>
            <w:tcW w:w="1271" w:type="dxa"/>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5131</w:t>
            </w:r>
          </w:p>
        </w:tc>
        <w:tc>
          <w:tcPr>
            <w:tcW w:w="5697" w:type="dxa"/>
            <w:tcBorders>
              <w:top w:val="nil"/>
              <w:left w:val="single" w:color="auto" w:sz="4" w:space="0"/>
              <w:bottom w:val="single" w:color="auto" w:sz="4" w:space="0"/>
              <w:right w:val="single" w:color="auto" w:sz="4" w:space="0"/>
            </w:tcBorders>
            <w:shd w:val="clear" w:color="auto" w:fill="auto"/>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纺织原料及日用品批发</w:t>
            </w:r>
          </w:p>
        </w:tc>
      </w:tr>
      <w:tr>
        <w:tblPrEx>
          <w:tblCellMar>
            <w:top w:w="0" w:type="dxa"/>
            <w:left w:w="108" w:type="dxa"/>
            <w:bottom w:w="0" w:type="dxa"/>
            <w:right w:w="108" w:type="dxa"/>
          </w:tblCellMar>
        </w:tblPrEx>
        <w:trPr>
          <w:trHeight w:val="50" w:hRule="atLeast"/>
          <w:jc w:val="center"/>
        </w:trPr>
        <w:tc>
          <w:tcPr>
            <w:tcW w:w="1271" w:type="dxa"/>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5137</w:t>
            </w:r>
          </w:p>
        </w:tc>
        <w:tc>
          <w:tcPr>
            <w:tcW w:w="5697" w:type="dxa"/>
            <w:tcBorders>
              <w:top w:val="nil"/>
              <w:left w:val="single" w:color="auto" w:sz="4" w:space="0"/>
              <w:bottom w:val="single" w:color="auto" w:sz="4" w:space="0"/>
              <w:right w:val="single" w:color="auto" w:sz="4" w:space="0"/>
            </w:tcBorders>
            <w:shd w:val="clear" w:color="auto" w:fill="auto"/>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服装、化妆品、卫生用品批发</w:t>
            </w:r>
          </w:p>
        </w:tc>
      </w:tr>
      <w:tr>
        <w:tblPrEx>
          <w:tblCellMar>
            <w:top w:w="0" w:type="dxa"/>
            <w:left w:w="108" w:type="dxa"/>
            <w:bottom w:w="0" w:type="dxa"/>
            <w:right w:w="108" w:type="dxa"/>
          </w:tblCellMar>
        </w:tblPrEx>
        <w:trPr>
          <w:trHeight w:val="245" w:hRule="atLeast"/>
          <w:jc w:val="center"/>
        </w:trPr>
        <w:tc>
          <w:tcPr>
            <w:tcW w:w="1271" w:type="dxa"/>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5139</w:t>
            </w:r>
          </w:p>
        </w:tc>
        <w:tc>
          <w:tcPr>
            <w:tcW w:w="5697" w:type="dxa"/>
            <w:tcBorders>
              <w:top w:val="nil"/>
              <w:left w:val="single" w:color="auto" w:sz="4" w:space="0"/>
              <w:bottom w:val="single" w:color="auto" w:sz="4" w:space="0"/>
              <w:right w:val="single" w:color="auto" w:sz="4" w:space="0"/>
            </w:tcBorders>
            <w:shd w:val="clear" w:color="auto" w:fill="auto"/>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鞋帽批发</w:t>
            </w:r>
          </w:p>
        </w:tc>
      </w:tr>
      <w:tr>
        <w:tblPrEx>
          <w:tblCellMar>
            <w:top w:w="0" w:type="dxa"/>
            <w:left w:w="108" w:type="dxa"/>
            <w:bottom w:w="0" w:type="dxa"/>
            <w:right w:w="108" w:type="dxa"/>
          </w:tblCellMar>
        </w:tblPrEx>
        <w:trPr>
          <w:trHeight w:val="173" w:hRule="atLeast"/>
          <w:jc w:val="center"/>
        </w:trPr>
        <w:tc>
          <w:tcPr>
            <w:tcW w:w="1271" w:type="dxa"/>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5172</w:t>
            </w:r>
          </w:p>
        </w:tc>
        <w:tc>
          <w:tcPr>
            <w:tcW w:w="5697" w:type="dxa"/>
            <w:tcBorders>
              <w:top w:val="nil"/>
              <w:left w:val="single" w:color="auto" w:sz="4" w:space="0"/>
              <w:bottom w:val="single" w:color="auto" w:sz="4" w:space="0"/>
              <w:right w:val="single" w:color="auto" w:sz="4" w:space="0"/>
            </w:tcBorders>
            <w:shd w:val="clear" w:color="auto" w:fill="auto"/>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石化产品批发</w:t>
            </w:r>
          </w:p>
        </w:tc>
      </w:tr>
      <w:tr>
        <w:tblPrEx>
          <w:tblCellMar>
            <w:top w:w="0" w:type="dxa"/>
            <w:left w:w="108" w:type="dxa"/>
            <w:bottom w:w="0" w:type="dxa"/>
            <w:right w:w="108" w:type="dxa"/>
          </w:tblCellMar>
        </w:tblPrEx>
        <w:trPr>
          <w:trHeight w:val="245" w:hRule="atLeast"/>
          <w:jc w:val="center"/>
        </w:trPr>
        <w:tc>
          <w:tcPr>
            <w:tcW w:w="1271" w:type="dxa"/>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5192</w:t>
            </w:r>
          </w:p>
        </w:tc>
        <w:tc>
          <w:tcPr>
            <w:tcW w:w="5697" w:type="dxa"/>
            <w:tcBorders>
              <w:top w:val="nil"/>
              <w:left w:val="single" w:color="auto" w:sz="4" w:space="0"/>
              <w:bottom w:val="single" w:color="auto" w:sz="4" w:space="0"/>
              <w:right w:val="single" w:color="auto" w:sz="4" w:space="0"/>
            </w:tcBorders>
            <w:shd w:val="clear" w:color="auto" w:fill="auto"/>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书报批发</w:t>
            </w:r>
          </w:p>
        </w:tc>
      </w:tr>
      <w:tr>
        <w:tblPrEx>
          <w:tblCellMar>
            <w:top w:w="0" w:type="dxa"/>
            <w:left w:w="108" w:type="dxa"/>
            <w:bottom w:w="0" w:type="dxa"/>
            <w:right w:w="108" w:type="dxa"/>
          </w:tblCellMar>
        </w:tblPrEx>
        <w:trPr>
          <w:trHeight w:val="239" w:hRule="atLeast"/>
          <w:jc w:val="center"/>
        </w:trPr>
        <w:tc>
          <w:tcPr>
            <w:tcW w:w="1271" w:type="dxa"/>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5193</w:t>
            </w:r>
          </w:p>
        </w:tc>
        <w:tc>
          <w:tcPr>
            <w:tcW w:w="5697" w:type="dxa"/>
            <w:tcBorders>
              <w:top w:val="nil"/>
              <w:left w:val="single" w:color="auto" w:sz="4" w:space="0"/>
              <w:bottom w:val="single" w:color="auto" w:sz="4" w:space="0"/>
              <w:right w:val="single" w:color="auto" w:sz="4" w:space="0"/>
            </w:tcBorders>
            <w:shd w:val="clear" w:color="auto" w:fill="auto"/>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花卉苗木批发</w:t>
            </w:r>
          </w:p>
        </w:tc>
      </w:tr>
      <w:tr>
        <w:tblPrEx>
          <w:tblCellMar>
            <w:top w:w="0" w:type="dxa"/>
            <w:left w:w="108" w:type="dxa"/>
            <w:bottom w:w="0" w:type="dxa"/>
            <w:right w:w="108" w:type="dxa"/>
          </w:tblCellMar>
        </w:tblPrEx>
        <w:trPr>
          <w:trHeight w:val="245" w:hRule="atLeast"/>
          <w:jc w:val="center"/>
        </w:trPr>
        <w:tc>
          <w:tcPr>
            <w:tcW w:w="1271" w:type="dxa"/>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5198</w:t>
            </w:r>
          </w:p>
        </w:tc>
        <w:tc>
          <w:tcPr>
            <w:tcW w:w="5697" w:type="dxa"/>
            <w:tcBorders>
              <w:top w:val="nil"/>
              <w:left w:val="single" w:color="auto" w:sz="4" w:space="0"/>
              <w:bottom w:val="single" w:color="auto" w:sz="4" w:space="0"/>
              <w:right w:val="single" w:color="auto" w:sz="4" w:space="0"/>
            </w:tcBorders>
            <w:shd w:val="clear" w:color="auto" w:fill="auto"/>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涂料批发</w:t>
            </w:r>
          </w:p>
        </w:tc>
      </w:tr>
      <w:tr>
        <w:tblPrEx>
          <w:tblCellMar>
            <w:top w:w="0" w:type="dxa"/>
            <w:left w:w="108" w:type="dxa"/>
            <w:bottom w:w="0" w:type="dxa"/>
            <w:right w:w="108" w:type="dxa"/>
          </w:tblCellMar>
        </w:tblPrEx>
        <w:trPr>
          <w:trHeight w:val="50" w:hRule="atLeast"/>
          <w:jc w:val="center"/>
        </w:trPr>
        <w:tc>
          <w:tcPr>
            <w:tcW w:w="1271" w:type="dxa"/>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5398</w:t>
            </w:r>
          </w:p>
        </w:tc>
        <w:tc>
          <w:tcPr>
            <w:tcW w:w="5697" w:type="dxa"/>
            <w:tcBorders>
              <w:top w:val="nil"/>
              <w:left w:val="single" w:color="auto" w:sz="4" w:space="0"/>
              <w:bottom w:val="single" w:color="auto" w:sz="4" w:space="0"/>
              <w:right w:val="single" w:color="auto" w:sz="4" w:space="0"/>
            </w:tcBorders>
            <w:shd w:val="clear" w:color="auto" w:fill="auto"/>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大型企业批发</w:t>
            </w:r>
          </w:p>
        </w:tc>
      </w:tr>
      <w:tr>
        <w:tblPrEx>
          <w:tblCellMar>
            <w:top w:w="0" w:type="dxa"/>
            <w:left w:w="108" w:type="dxa"/>
            <w:bottom w:w="0" w:type="dxa"/>
            <w:right w:w="108" w:type="dxa"/>
          </w:tblCellMar>
        </w:tblPrEx>
        <w:trPr>
          <w:trHeight w:val="111" w:hRule="atLeast"/>
          <w:jc w:val="center"/>
        </w:trPr>
        <w:tc>
          <w:tcPr>
            <w:tcW w:w="1271" w:type="dxa"/>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5046</w:t>
            </w:r>
          </w:p>
        </w:tc>
        <w:tc>
          <w:tcPr>
            <w:tcW w:w="5697" w:type="dxa"/>
            <w:tcBorders>
              <w:top w:val="nil"/>
              <w:left w:val="single" w:color="auto" w:sz="4" w:space="0"/>
              <w:bottom w:val="single" w:color="auto" w:sz="4" w:space="0"/>
              <w:right w:val="single" w:color="auto" w:sz="4" w:space="0"/>
            </w:tcBorders>
            <w:shd w:val="clear" w:color="auto" w:fill="auto"/>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未列入其他代码的商用机械设备批发</w:t>
            </w:r>
          </w:p>
        </w:tc>
      </w:tr>
      <w:tr>
        <w:tblPrEx>
          <w:tblCellMar>
            <w:top w:w="0" w:type="dxa"/>
            <w:left w:w="108" w:type="dxa"/>
            <w:bottom w:w="0" w:type="dxa"/>
            <w:right w:w="108" w:type="dxa"/>
          </w:tblCellMar>
        </w:tblPrEx>
        <w:trPr>
          <w:trHeight w:val="230" w:hRule="atLeast"/>
          <w:jc w:val="center"/>
        </w:trPr>
        <w:tc>
          <w:tcPr>
            <w:tcW w:w="1271" w:type="dxa"/>
            <w:tcBorders>
              <w:top w:val="nil"/>
              <w:left w:val="single" w:color="auto" w:sz="4" w:space="0"/>
              <w:bottom w:val="single" w:color="auto" w:sz="4" w:space="0"/>
              <w:right w:val="single" w:color="auto" w:sz="4" w:space="0"/>
            </w:tcBorders>
          </w:tcPr>
          <w:p>
            <w:pPr>
              <w:spacing w:line="240" w:lineRule="auto"/>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1520</w:t>
            </w:r>
          </w:p>
        </w:tc>
        <w:tc>
          <w:tcPr>
            <w:tcW w:w="5697" w:type="dxa"/>
            <w:tcBorders>
              <w:top w:val="nil"/>
              <w:left w:val="single" w:color="auto" w:sz="4" w:space="0"/>
              <w:bottom w:val="single" w:color="auto" w:sz="4" w:space="0"/>
              <w:right w:val="single" w:color="auto" w:sz="4" w:space="0"/>
            </w:tcBorders>
            <w:shd w:val="clear" w:color="auto" w:fill="auto"/>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一般承包商－住宅与商业楼</w:t>
            </w:r>
          </w:p>
        </w:tc>
      </w:tr>
      <w:tr>
        <w:tblPrEx>
          <w:tblCellMar>
            <w:top w:w="0" w:type="dxa"/>
            <w:left w:w="108" w:type="dxa"/>
            <w:bottom w:w="0" w:type="dxa"/>
            <w:right w:w="108" w:type="dxa"/>
          </w:tblCellMar>
        </w:tblPrEx>
        <w:trPr>
          <w:trHeight w:val="132" w:hRule="atLeast"/>
          <w:jc w:val="center"/>
        </w:trPr>
        <w:tc>
          <w:tcPr>
            <w:tcW w:w="1271" w:type="dxa"/>
            <w:tcBorders>
              <w:top w:val="nil"/>
              <w:left w:val="single" w:color="auto" w:sz="4" w:space="0"/>
              <w:bottom w:val="single" w:color="auto" w:sz="4" w:space="0"/>
              <w:right w:val="single" w:color="auto" w:sz="4" w:space="0"/>
            </w:tcBorders>
          </w:tcPr>
          <w:p>
            <w:pPr>
              <w:spacing w:line="240" w:lineRule="auto"/>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1771</w:t>
            </w:r>
          </w:p>
        </w:tc>
        <w:tc>
          <w:tcPr>
            <w:tcW w:w="5697" w:type="dxa"/>
            <w:tcBorders>
              <w:top w:val="nil"/>
              <w:left w:val="single" w:color="auto" w:sz="4" w:space="0"/>
              <w:bottom w:val="single" w:color="auto" w:sz="4" w:space="0"/>
              <w:right w:val="single" w:color="auto" w:sz="4" w:space="0"/>
            </w:tcBorders>
            <w:shd w:val="clear" w:color="auto" w:fill="auto"/>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混凝土工程</w:t>
            </w:r>
          </w:p>
        </w:tc>
      </w:tr>
      <w:tr>
        <w:tblPrEx>
          <w:tblCellMar>
            <w:top w:w="0" w:type="dxa"/>
            <w:left w:w="108" w:type="dxa"/>
            <w:bottom w:w="0" w:type="dxa"/>
            <w:right w:w="108" w:type="dxa"/>
          </w:tblCellMar>
        </w:tblPrEx>
        <w:trPr>
          <w:trHeight w:val="250" w:hRule="atLeast"/>
          <w:jc w:val="center"/>
        </w:trPr>
        <w:tc>
          <w:tcPr>
            <w:tcW w:w="1271" w:type="dxa"/>
            <w:tcBorders>
              <w:top w:val="nil"/>
              <w:left w:val="single" w:color="auto" w:sz="4" w:space="0"/>
              <w:bottom w:val="single" w:color="auto" w:sz="4" w:space="0"/>
              <w:right w:val="single" w:color="auto" w:sz="4" w:space="0"/>
            </w:tcBorders>
            <w:shd w:val="clear" w:color="000000" w:fill="FFFFFF"/>
          </w:tcPr>
          <w:p>
            <w:pPr>
              <w:spacing w:line="240" w:lineRule="auto"/>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5013</w:t>
            </w:r>
          </w:p>
        </w:tc>
        <w:tc>
          <w:tcPr>
            <w:tcW w:w="5697" w:type="dxa"/>
            <w:tcBorders>
              <w:top w:val="nil"/>
              <w:left w:val="single" w:color="auto" w:sz="4" w:space="0"/>
              <w:bottom w:val="single" w:color="auto" w:sz="4" w:space="0"/>
              <w:right w:val="single" w:color="auto" w:sz="4" w:space="0"/>
            </w:tcBorders>
            <w:shd w:val="clear" w:color="000000" w:fill="FFFFFF"/>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机动车供应及零配件（批发商）</w:t>
            </w:r>
          </w:p>
        </w:tc>
      </w:tr>
      <w:tr>
        <w:tblPrEx>
          <w:tblCellMar>
            <w:top w:w="0" w:type="dxa"/>
            <w:left w:w="108" w:type="dxa"/>
            <w:bottom w:w="0" w:type="dxa"/>
            <w:right w:w="108" w:type="dxa"/>
          </w:tblCellMar>
        </w:tblPrEx>
        <w:trPr>
          <w:trHeight w:val="354" w:hRule="atLeast"/>
          <w:jc w:val="center"/>
        </w:trPr>
        <w:tc>
          <w:tcPr>
            <w:tcW w:w="1271" w:type="dxa"/>
            <w:tcBorders>
              <w:top w:val="nil"/>
              <w:left w:val="single" w:color="auto" w:sz="4" w:space="0"/>
              <w:bottom w:val="single" w:color="auto" w:sz="4" w:space="0"/>
              <w:right w:val="single" w:color="auto" w:sz="4" w:space="0"/>
            </w:tcBorders>
            <w:shd w:val="clear" w:color="000000" w:fill="FFFFFF"/>
          </w:tcPr>
          <w:p>
            <w:pPr>
              <w:spacing w:line="240" w:lineRule="auto"/>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5021</w:t>
            </w:r>
          </w:p>
        </w:tc>
        <w:tc>
          <w:tcPr>
            <w:tcW w:w="5697" w:type="dxa"/>
            <w:tcBorders>
              <w:top w:val="nil"/>
              <w:left w:val="single" w:color="auto" w:sz="4" w:space="0"/>
              <w:bottom w:val="single" w:color="auto" w:sz="4" w:space="0"/>
              <w:right w:val="single" w:color="auto" w:sz="4" w:space="0"/>
            </w:tcBorders>
            <w:shd w:val="clear" w:color="000000" w:fill="FFFFFF"/>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办公及商务家具（批发商）</w:t>
            </w:r>
          </w:p>
        </w:tc>
      </w:tr>
      <w:tr>
        <w:tblPrEx>
          <w:tblCellMar>
            <w:top w:w="0" w:type="dxa"/>
            <w:left w:w="108" w:type="dxa"/>
            <w:bottom w:w="0" w:type="dxa"/>
            <w:right w:w="108" w:type="dxa"/>
          </w:tblCellMar>
        </w:tblPrEx>
        <w:trPr>
          <w:trHeight w:val="119" w:hRule="atLeast"/>
          <w:jc w:val="center"/>
        </w:trPr>
        <w:tc>
          <w:tcPr>
            <w:tcW w:w="1271" w:type="dxa"/>
            <w:tcBorders>
              <w:top w:val="nil"/>
              <w:left w:val="single" w:color="auto" w:sz="4" w:space="0"/>
              <w:bottom w:val="single" w:color="auto" w:sz="4" w:space="0"/>
              <w:right w:val="single" w:color="auto" w:sz="4" w:space="0"/>
            </w:tcBorders>
            <w:shd w:val="clear" w:color="000000" w:fill="FFFFFF"/>
          </w:tcPr>
          <w:p>
            <w:pPr>
              <w:spacing w:line="240" w:lineRule="auto"/>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5039</w:t>
            </w:r>
          </w:p>
        </w:tc>
        <w:tc>
          <w:tcPr>
            <w:tcW w:w="5697" w:type="dxa"/>
            <w:tcBorders>
              <w:top w:val="nil"/>
              <w:left w:val="single" w:color="auto" w:sz="4" w:space="0"/>
              <w:bottom w:val="single" w:color="auto" w:sz="4" w:space="0"/>
              <w:right w:val="single" w:color="auto" w:sz="4" w:space="0"/>
            </w:tcBorders>
            <w:shd w:val="clear" w:color="000000" w:fill="FFFFFF"/>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未列入其他代码的建材批发（批发商）</w:t>
            </w:r>
          </w:p>
        </w:tc>
      </w:tr>
      <w:tr>
        <w:tblPrEx>
          <w:tblCellMar>
            <w:top w:w="0" w:type="dxa"/>
            <w:left w:w="108" w:type="dxa"/>
            <w:bottom w:w="0" w:type="dxa"/>
            <w:right w:w="108" w:type="dxa"/>
          </w:tblCellMar>
        </w:tblPrEx>
        <w:trPr>
          <w:trHeight w:val="281" w:hRule="atLeast"/>
          <w:jc w:val="center"/>
        </w:trPr>
        <w:tc>
          <w:tcPr>
            <w:tcW w:w="1271" w:type="dxa"/>
            <w:tcBorders>
              <w:top w:val="nil"/>
              <w:left w:val="single" w:color="auto" w:sz="4" w:space="0"/>
              <w:bottom w:val="single" w:color="auto" w:sz="4" w:space="0"/>
              <w:right w:val="single" w:color="auto" w:sz="4" w:space="0"/>
            </w:tcBorders>
            <w:shd w:val="clear" w:color="000000" w:fill="FFFFFF"/>
          </w:tcPr>
          <w:p>
            <w:pPr>
              <w:spacing w:line="240" w:lineRule="auto"/>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5044</w:t>
            </w:r>
          </w:p>
        </w:tc>
        <w:tc>
          <w:tcPr>
            <w:tcW w:w="5697" w:type="dxa"/>
            <w:tcBorders>
              <w:top w:val="nil"/>
              <w:left w:val="single" w:color="auto" w:sz="4" w:space="0"/>
              <w:bottom w:val="single" w:color="auto" w:sz="4" w:space="0"/>
              <w:right w:val="single" w:color="auto" w:sz="4" w:space="0"/>
            </w:tcBorders>
            <w:shd w:val="clear" w:color="000000" w:fill="FFFFFF"/>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办公、影印及微缩摄影器材（批发商）</w:t>
            </w:r>
          </w:p>
        </w:tc>
      </w:tr>
      <w:tr>
        <w:tblPrEx>
          <w:tblCellMar>
            <w:top w:w="0" w:type="dxa"/>
            <w:left w:w="108" w:type="dxa"/>
            <w:bottom w:w="0" w:type="dxa"/>
            <w:right w:w="108" w:type="dxa"/>
          </w:tblCellMar>
        </w:tblPrEx>
        <w:trPr>
          <w:trHeight w:val="243" w:hRule="atLeast"/>
          <w:jc w:val="center"/>
        </w:trPr>
        <w:tc>
          <w:tcPr>
            <w:tcW w:w="1271" w:type="dxa"/>
            <w:tcBorders>
              <w:top w:val="nil"/>
              <w:left w:val="single" w:color="auto" w:sz="4" w:space="0"/>
              <w:bottom w:val="single" w:color="auto" w:sz="4" w:space="0"/>
              <w:right w:val="single" w:color="auto" w:sz="4" w:space="0"/>
            </w:tcBorders>
            <w:shd w:val="clear" w:color="000000" w:fill="FFFFFF"/>
          </w:tcPr>
          <w:p>
            <w:pPr>
              <w:spacing w:line="240" w:lineRule="auto"/>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5045</w:t>
            </w:r>
          </w:p>
        </w:tc>
        <w:tc>
          <w:tcPr>
            <w:tcW w:w="5697" w:type="dxa"/>
            <w:tcBorders>
              <w:top w:val="nil"/>
              <w:left w:val="single" w:color="auto" w:sz="4" w:space="0"/>
              <w:bottom w:val="single" w:color="auto" w:sz="4" w:space="0"/>
              <w:right w:val="single" w:color="auto" w:sz="4" w:space="0"/>
            </w:tcBorders>
            <w:shd w:val="clear" w:color="000000" w:fill="FFFFFF"/>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计算机、计算机外围设备（批发商）</w:t>
            </w:r>
          </w:p>
        </w:tc>
      </w:tr>
      <w:tr>
        <w:tblPrEx>
          <w:tblCellMar>
            <w:top w:w="0" w:type="dxa"/>
            <w:left w:w="108" w:type="dxa"/>
            <w:bottom w:w="0" w:type="dxa"/>
            <w:right w:w="108" w:type="dxa"/>
          </w:tblCellMar>
        </w:tblPrEx>
        <w:trPr>
          <w:trHeight w:val="205" w:hRule="atLeast"/>
          <w:jc w:val="center"/>
        </w:trPr>
        <w:tc>
          <w:tcPr>
            <w:tcW w:w="1271" w:type="dxa"/>
            <w:tcBorders>
              <w:top w:val="nil"/>
              <w:left w:val="single" w:color="auto" w:sz="4" w:space="0"/>
              <w:bottom w:val="single" w:color="auto" w:sz="4" w:space="0"/>
              <w:right w:val="single" w:color="auto" w:sz="4" w:space="0"/>
            </w:tcBorders>
            <w:shd w:val="clear" w:color="000000" w:fill="FFFFFF"/>
          </w:tcPr>
          <w:p>
            <w:pPr>
              <w:spacing w:line="240" w:lineRule="auto"/>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5046</w:t>
            </w:r>
          </w:p>
        </w:tc>
        <w:tc>
          <w:tcPr>
            <w:tcW w:w="5697" w:type="dxa"/>
            <w:tcBorders>
              <w:top w:val="nil"/>
              <w:left w:val="single" w:color="auto" w:sz="4" w:space="0"/>
              <w:bottom w:val="single" w:color="auto" w:sz="4" w:space="0"/>
              <w:right w:val="single" w:color="auto" w:sz="4" w:space="0"/>
            </w:tcBorders>
            <w:shd w:val="clear" w:color="000000" w:fill="FFFFFF"/>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未列入其他代码的商用器材（批发商）</w:t>
            </w:r>
          </w:p>
        </w:tc>
      </w:tr>
      <w:tr>
        <w:tblPrEx>
          <w:tblCellMar>
            <w:top w:w="0" w:type="dxa"/>
            <w:left w:w="108" w:type="dxa"/>
            <w:bottom w:w="0" w:type="dxa"/>
            <w:right w:w="108" w:type="dxa"/>
          </w:tblCellMar>
        </w:tblPrEx>
        <w:trPr>
          <w:trHeight w:val="107" w:hRule="atLeast"/>
          <w:jc w:val="center"/>
        </w:trPr>
        <w:tc>
          <w:tcPr>
            <w:tcW w:w="1271" w:type="dxa"/>
            <w:tcBorders>
              <w:top w:val="nil"/>
              <w:left w:val="single" w:color="auto" w:sz="4" w:space="0"/>
              <w:bottom w:val="single" w:color="auto" w:sz="4" w:space="0"/>
              <w:right w:val="single" w:color="auto" w:sz="4" w:space="0"/>
            </w:tcBorders>
            <w:shd w:val="clear" w:color="000000" w:fill="FFFFFF"/>
          </w:tcPr>
          <w:p>
            <w:pPr>
              <w:spacing w:line="240" w:lineRule="auto"/>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5047</w:t>
            </w:r>
          </w:p>
        </w:tc>
        <w:tc>
          <w:tcPr>
            <w:tcW w:w="5697" w:type="dxa"/>
            <w:tcBorders>
              <w:top w:val="nil"/>
              <w:left w:val="single" w:color="auto" w:sz="4" w:space="0"/>
              <w:bottom w:val="single" w:color="auto" w:sz="4" w:space="0"/>
              <w:right w:val="single" w:color="auto" w:sz="4" w:space="0"/>
            </w:tcBorders>
            <w:shd w:val="clear" w:color="000000" w:fill="FFFFFF"/>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牙科</w:t>
            </w:r>
            <w:r>
              <w:rPr>
                <w:rFonts w:ascii="Times New Roman" w:hAnsi="Times New Roman" w:eastAsia="宋体" w:cs="Times New Roman"/>
                <w:color w:val="auto"/>
                <w:kern w:val="0"/>
                <w:sz w:val="24"/>
                <w:szCs w:val="24"/>
                <w:highlight w:val="none"/>
              </w:rPr>
              <w:t>/</w:t>
            </w:r>
            <w:r>
              <w:rPr>
                <w:rFonts w:hint="eastAsia" w:ascii="宋体" w:hAnsi="宋体" w:eastAsia="宋体" w:cs="宋体"/>
                <w:color w:val="auto"/>
                <w:kern w:val="0"/>
                <w:sz w:val="24"/>
                <w:szCs w:val="24"/>
                <w:highlight w:val="none"/>
              </w:rPr>
              <w:t>实验室</w:t>
            </w:r>
            <w:r>
              <w:rPr>
                <w:rFonts w:ascii="Times New Roman" w:hAnsi="Times New Roman" w:eastAsia="宋体" w:cs="Times New Roman"/>
                <w:color w:val="auto"/>
                <w:kern w:val="0"/>
                <w:sz w:val="24"/>
                <w:szCs w:val="24"/>
                <w:highlight w:val="none"/>
              </w:rPr>
              <w:t>/</w:t>
            </w:r>
            <w:r>
              <w:rPr>
                <w:rFonts w:hint="eastAsia" w:ascii="宋体" w:hAnsi="宋体" w:eastAsia="宋体" w:cs="宋体"/>
                <w:color w:val="auto"/>
                <w:kern w:val="0"/>
                <w:sz w:val="24"/>
                <w:szCs w:val="24"/>
                <w:highlight w:val="none"/>
              </w:rPr>
              <w:t>医疗</w:t>
            </w:r>
            <w:r>
              <w:rPr>
                <w:rFonts w:ascii="Times New Roman" w:hAnsi="Times New Roman" w:eastAsia="宋体" w:cs="Times New Roman"/>
                <w:color w:val="auto"/>
                <w:kern w:val="0"/>
                <w:sz w:val="24"/>
                <w:szCs w:val="24"/>
                <w:highlight w:val="none"/>
              </w:rPr>
              <w:t>/</w:t>
            </w:r>
            <w:r>
              <w:rPr>
                <w:rFonts w:hint="eastAsia" w:ascii="宋体" w:hAnsi="宋体" w:eastAsia="宋体" w:cs="宋体"/>
                <w:color w:val="auto"/>
                <w:kern w:val="0"/>
                <w:sz w:val="24"/>
                <w:szCs w:val="24"/>
                <w:highlight w:val="none"/>
              </w:rPr>
              <w:t>眼科医院器材和用品（批发商）</w:t>
            </w:r>
          </w:p>
        </w:tc>
      </w:tr>
      <w:tr>
        <w:tblPrEx>
          <w:tblCellMar>
            <w:top w:w="0" w:type="dxa"/>
            <w:left w:w="108" w:type="dxa"/>
            <w:bottom w:w="0" w:type="dxa"/>
            <w:right w:w="108" w:type="dxa"/>
          </w:tblCellMar>
        </w:tblPrEx>
        <w:trPr>
          <w:trHeight w:val="70" w:hRule="atLeast"/>
          <w:jc w:val="center"/>
        </w:trPr>
        <w:tc>
          <w:tcPr>
            <w:tcW w:w="1271" w:type="dxa"/>
            <w:tcBorders>
              <w:top w:val="nil"/>
              <w:left w:val="single" w:color="auto" w:sz="4" w:space="0"/>
              <w:bottom w:val="single" w:color="auto" w:sz="4" w:space="0"/>
              <w:right w:val="single" w:color="auto" w:sz="4" w:space="0"/>
            </w:tcBorders>
            <w:shd w:val="clear" w:color="000000" w:fill="FFFFFF"/>
          </w:tcPr>
          <w:p>
            <w:pPr>
              <w:spacing w:line="240" w:lineRule="auto"/>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5051</w:t>
            </w:r>
          </w:p>
        </w:tc>
        <w:tc>
          <w:tcPr>
            <w:tcW w:w="5697" w:type="dxa"/>
            <w:tcBorders>
              <w:top w:val="nil"/>
              <w:left w:val="single" w:color="auto" w:sz="4" w:space="0"/>
              <w:bottom w:val="single" w:color="auto" w:sz="4" w:space="0"/>
              <w:right w:val="single" w:color="auto" w:sz="4" w:space="0"/>
            </w:tcBorders>
            <w:shd w:val="clear" w:color="000000" w:fill="FFFFFF"/>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金属产品服务商和公司（批发商）</w:t>
            </w:r>
          </w:p>
        </w:tc>
      </w:tr>
      <w:tr>
        <w:tblPrEx>
          <w:tblCellMar>
            <w:top w:w="0" w:type="dxa"/>
            <w:left w:w="108" w:type="dxa"/>
            <w:bottom w:w="0" w:type="dxa"/>
            <w:right w:w="108" w:type="dxa"/>
          </w:tblCellMar>
        </w:tblPrEx>
        <w:trPr>
          <w:trHeight w:val="315" w:hRule="atLeast"/>
          <w:jc w:val="center"/>
        </w:trPr>
        <w:tc>
          <w:tcPr>
            <w:tcW w:w="1271" w:type="dxa"/>
            <w:tcBorders>
              <w:top w:val="nil"/>
              <w:left w:val="single" w:color="auto" w:sz="4" w:space="0"/>
              <w:bottom w:val="single" w:color="auto" w:sz="4" w:space="0"/>
              <w:right w:val="single" w:color="auto" w:sz="4" w:space="0"/>
            </w:tcBorders>
            <w:shd w:val="clear" w:color="000000" w:fill="FFFFFF"/>
          </w:tcPr>
          <w:p>
            <w:pPr>
              <w:spacing w:line="240" w:lineRule="auto"/>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5065</w:t>
            </w:r>
          </w:p>
        </w:tc>
        <w:tc>
          <w:tcPr>
            <w:tcW w:w="5697" w:type="dxa"/>
            <w:tcBorders>
              <w:top w:val="nil"/>
              <w:left w:val="single" w:color="auto" w:sz="4" w:space="0"/>
              <w:bottom w:val="single" w:color="auto" w:sz="4" w:space="0"/>
              <w:right w:val="single" w:color="auto" w:sz="4" w:space="0"/>
            </w:tcBorders>
            <w:shd w:val="clear" w:color="000000" w:fill="FFFFFF"/>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电器零件和设备（批发商）</w:t>
            </w:r>
          </w:p>
        </w:tc>
      </w:tr>
      <w:tr>
        <w:tblPrEx>
          <w:tblCellMar>
            <w:top w:w="0" w:type="dxa"/>
            <w:left w:w="108" w:type="dxa"/>
            <w:bottom w:w="0" w:type="dxa"/>
            <w:right w:w="108" w:type="dxa"/>
          </w:tblCellMar>
        </w:tblPrEx>
        <w:trPr>
          <w:trHeight w:val="277" w:hRule="atLeast"/>
          <w:jc w:val="center"/>
        </w:trPr>
        <w:tc>
          <w:tcPr>
            <w:tcW w:w="1271" w:type="dxa"/>
            <w:tcBorders>
              <w:top w:val="nil"/>
              <w:left w:val="single" w:color="auto" w:sz="4" w:space="0"/>
              <w:bottom w:val="single" w:color="auto" w:sz="4" w:space="0"/>
              <w:right w:val="single" w:color="auto" w:sz="4" w:space="0"/>
            </w:tcBorders>
            <w:shd w:val="clear" w:color="000000" w:fill="FFFFFF"/>
          </w:tcPr>
          <w:p>
            <w:pPr>
              <w:spacing w:line="240" w:lineRule="auto"/>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5072</w:t>
            </w:r>
          </w:p>
        </w:tc>
        <w:tc>
          <w:tcPr>
            <w:tcW w:w="5697" w:type="dxa"/>
            <w:tcBorders>
              <w:top w:val="nil"/>
              <w:left w:val="single" w:color="auto" w:sz="4" w:space="0"/>
              <w:bottom w:val="single" w:color="auto" w:sz="4" w:space="0"/>
              <w:right w:val="single" w:color="auto" w:sz="4" w:space="0"/>
            </w:tcBorders>
            <w:shd w:val="clear" w:color="000000" w:fill="FFFFFF"/>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五金器材及用品（批发商）</w:t>
            </w:r>
          </w:p>
        </w:tc>
      </w:tr>
      <w:tr>
        <w:tblPrEx>
          <w:tblCellMar>
            <w:top w:w="0" w:type="dxa"/>
            <w:left w:w="108" w:type="dxa"/>
            <w:bottom w:w="0" w:type="dxa"/>
            <w:right w:w="108" w:type="dxa"/>
          </w:tblCellMar>
        </w:tblPrEx>
        <w:trPr>
          <w:trHeight w:val="239" w:hRule="atLeast"/>
          <w:jc w:val="center"/>
        </w:trPr>
        <w:tc>
          <w:tcPr>
            <w:tcW w:w="1271" w:type="dxa"/>
            <w:tcBorders>
              <w:top w:val="nil"/>
              <w:left w:val="single" w:color="auto" w:sz="4" w:space="0"/>
              <w:bottom w:val="single" w:color="auto" w:sz="4" w:space="0"/>
              <w:right w:val="single" w:color="auto" w:sz="4" w:space="0"/>
            </w:tcBorders>
            <w:shd w:val="clear" w:color="000000" w:fill="FFFFFF"/>
          </w:tcPr>
          <w:p>
            <w:pPr>
              <w:spacing w:line="240" w:lineRule="auto"/>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5074</w:t>
            </w:r>
          </w:p>
        </w:tc>
        <w:tc>
          <w:tcPr>
            <w:tcW w:w="5697" w:type="dxa"/>
            <w:tcBorders>
              <w:top w:val="nil"/>
              <w:left w:val="single" w:color="auto" w:sz="4" w:space="0"/>
              <w:bottom w:val="single" w:color="auto" w:sz="4" w:space="0"/>
              <w:right w:val="single" w:color="auto" w:sz="4" w:space="0"/>
            </w:tcBorders>
            <w:shd w:val="clear" w:color="000000" w:fill="FFFFFF"/>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管道和供暖设备（批发商）</w:t>
            </w:r>
          </w:p>
        </w:tc>
      </w:tr>
      <w:tr>
        <w:tblPrEx>
          <w:tblCellMar>
            <w:top w:w="0" w:type="dxa"/>
            <w:left w:w="108" w:type="dxa"/>
            <w:bottom w:w="0" w:type="dxa"/>
            <w:right w:w="108" w:type="dxa"/>
          </w:tblCellMar>
        </w:tblPrEx>
        <w:trPr>
          <w:trHeight w:val="201" w:hRule="atLeast"/>
          <w:jc w:val="center"/>
        </w:trPr>
        <w:tc>
          <w:tcPr>
            <w:tcW w:w="1271" w:type="dxa"/>
            <w:tcBorders>
              <w:top w:val="nil"/>
              <w:left w:val="single" w:color="auto" w:sz="4" w:space="0"/>
              <w:bottom w:val="single" w:color="auto" w:sz="4" w:space="0"/>
              <w:right w:val="single" w:color="auto" w:sz="4" w:space="0"/>
            </w:tcBorders>
            <w:shd w:val="clear" w:color="000000" w:fill="FFFFFF"/>
          </w:tcPr>
          <w:p>
            <w:pPr>
              <w:spacing w:line="240" w:lineRule="auto"/>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5111</w:t>
            </w:r>
          </w:p>
        </w:tc>
        <w:tc>
          <w:tcPr>
            <w:tcW w:w="5697" w:type="dxa"/>
            <w:tcBorders>
              <w:top w:val="nil"/>
              <w:left w:val="single" w:color="auto" w:sz="4" w:space="0"/>
              <w:bottom w:val="single" w:color="auto" w:sz="4" w:space="0"/>
              <w:right w:val="single" w:color="auto" w:sz="4" w:space="0"/>
            </w:tcBorders>
            <w:shd w:val="clear" w:color="000000" w:fill="FFFFFF"/>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文具、办公用品、复印纸和书写纸（批发商）</w:t>
            </w:r>
          </w:p>
        </w:tc>
      </w:tr>
      <w:tr>
        <w:tblPrEx>
          <w:tblCellMar>
            <w:top w:w="0" w:type="dxa"/>
            <w:left w:w="108" w:type="dxa"/>
            <w:bottom w:w="0" w:type="dxa"/>
            <w:right w:w="108" w:type="dxa"/>
          </w:tblCellMar>
        </w:tblPrEx>
        <w:trPr>
          <w:trHeight w:val="163" w:hRule="atLeast"/>
          <w:jc w:val="center"/>
        </w:trPr>
        <w:tc>
          <w:tcPr>
            <w:tcW w:w="1271" w:type="dxa"/>
            <w:tcBorders>
              <w:top w:val="nil"/>
              <w:left w:val="single" w:color="auto" w:sz="4" w:space="0"/>
              <w:bottom w:val="single" w:color="auto" w:sz="4" w:space="0"/>
              <w:right w:val="single" w:color="auto" w:sz="4" w:space="0"/>
            </w:tcBorders>
            <w:shd w:val="clear" w:color="000000" w:fill="FFFFFF"/>
          </w:tcPr>
          <w:p>
            <w:pPr>
              <w:spacing w:line="240" w:lineRule="auto"/>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5122</w:t>
            </w:r>
          </w:p>
        </w:tc>
        <w:tc>
          <w:tcPr>
            <w:tcW w:w="5697" w:type="dxa"/>
            <w:tcBorders>
              <w:top w:val="nil"/>
              <w:left w:val="single" w:color="auto" w:sz="4" w:space="0"/>
              <w:bottom w:val="single" w:color="auto" w:sz="4" w:space="0"/>
              <w:right w:val="single" w:color="auto" w:sz="4" w:space="0"/>
            </w:tcBorders>
            <w:shd w:val="clear" w:color="000000" w:fill="FFFFFF"/>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药品、药品经营者（批发商）</w:t>
            </w:r>
          </w:p>
        </w:tc>
      </w:tr>
      <w:tr>
        <w:tblPrEx>
          <w:tblCellMar>
            <w:top w:w="0" w:type="dxa"/>
            <w:left w:w="108" w:type="dxa"/>
            <w:bottom w:w="0" w:type="dxa"/>
            <w:right w:w="108" w:type="dxa"/>
          </w:tblCellMar>
        </w:tblPrEx>
        <w:trPr>
          <w:trHeight w:val="125" w:hRule="atLeast"/>
          <w:jc w:val="center"/>
        </w:trPr>
        <w:tc>
          <w:tcPr>
            <w:tcW w:w="1271" w:type="dxa"/>
            <w:tcBorders>
              <w:top w:val="nil"/>
              <w:left w:val="single" w:color="auto" w:sz="4" w:space="0"/>
              <w:bottom w:val="single" w:color="auto" w:sz="4" w:space="0"/>
              <w:right w:val="single" w:color="auto" w:sz="4" w:space="0"/>
            </w:tcBorders>
            <w:shd w:val="clear" w:color="000000" w:fill="FFFFFF"/>
          </w:tcPr>
          <w:p>
            <w:pPr>
              <w:spacing w:line="240" w:lineRule="auto"/>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5131</w:t>
            </w:r>
          </w:p>
        </w:tc>
        <w:tc>
          <w:tcPr>
            <w:tcW w:w="5697" w:type="dxa"/>
            <w:tcBorders>
              <w:top w:val="nil"/>
              <w:left w:val="single" w:color="auto" w:sz="4" w:space="0"/>
              <w:bottom w:val="single" w:color="auto" w:sz="4" w:space="0"/>
              <w:right w:val="single" w:color="auto" w:sz="4" w:space="0"/>
            </w:tcBorders>
            <w:shd w:val="clear" w:color="000000" w:fill="FFFFFF"/>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布料、缝纫用品和其他纺织品（批发商）</w:t>
            </w:r>
          </w:p>
        </w:tc>
      </w:tr>
      <w:tr>
        <w:tblPrEx>
          <w:tblCellMar>
            <w:top w:w="0" w:type="dxa"/>
            <w:left w:w="108" w:type="dxa"/>
            <w:bottom w:w="0" w:type="dxa"/>
            <w:right w:w="108" w:type="dxa"/>
          </w:tblCellMar>
        </w:tblPrEx>
        <w:trPr>
          <w:trHeight w:val="50" w:hRule="atLeast"/>
          <w:jc w:val="center"/>
        </w:trPr>
        <w:tc>
          <w:tcPr>
            <w:tcW w:w="1271" w:type="dxa"/>
            <w:tcBorders>
              <w:top w:val="nil"/>
              <w:left w:val="single" w:color="auto" w:sz="4" w:space="0"/>
              <w:bottom w:val="single" w:color="auto" w:sz="4" w:space="0"/>
              <w:right w:val="single" w:color="auto" w:sz="4" w:space="0"/>
            </w:tcBorders>
            <w:shd w:val="clear" w:color="000000" w:fill="FFFFFF"/>
          </w:tcPr>
          <w:p>
            <w:pPr>
              <w:spacing w:line="240" w:lineRule="auto"/>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5137</w:t>
            </w:r>
          </w:p>
        </w:tc>
        <w:tc>
          <w:tcPr>
            <w:tcW w:w="5697" w:type="dxa"/>
            <w:tcBorders>
              <w:top w:val="nil"/>
              <w:left w:val="single" w:color="auto" w:sz="4" w:space="0"/>
              <w:bottom w:val="single" w:color="auto" w:sz="4" w:space="0"/>
              <w:right w:val="single" w:color="auto" w:sz="4" w:space="0"/>
            </w:tcBorders>
            <w:shd w:val="clear" w:color="000000" w:fill="FFFFFF"/>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男女及儿童制服和服装（批发商）</w:t>
            </w:r>
          </w:p>
        </w:tc>
      </w:tr>
      <w:tr>
        <w:tblPrEx>
          <w:tblCellMar>
            <w:top w:w="0" w:type="dxa"/>
            <w:left w:w="108" w:type="dxa"/>
            <w:bottom w:w="0" w:type="dxa"/>
            <w:right w:w="108" w:type="dxa"/>
          </w:tblCellMar>
        </w:tblPrEx>
        <w:trPr>
          <w:trHeight w:val="50" w:hRule="atLeast"/>
          <w:jc w:val="center"/>
        </w:trPr>
        <w:tc>
          <w:tcPr>
            <w:tcW w:w="1271" w:type="dxa"/>
            <w:tcBorders>
              <w:top w:val="nil"/>
              <w:left w:val="single" w:color="auto" w:sz="4" w:space="0"/>
              <w:bottom w:val="single" w:color="auto" w:sz="4" w:space="0"/>
              <w:right w:val="single" w:color="auto" w:sz="4" w:space="0"/>
            </w:tcBorders>
            <w:shd w:val="clear" w:color="000000" w:fill="FFFFFF"/>
          </w:tcPr>
          <w:p>
            <w:pPr>
              <w:spacing w:line="240" w:lineRule="auto"/>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5139</w:t>
            </w:r>
          </w:p>
        </w:tc>
        <w:tc>
          <w:tcPr>
            <w:tcW w:w="5697" w:type="dxa"/>
            <w:tcBorders>
              <w:top w:val="nil"/>
              <w:left w:val="single" w:color="auto" w:sz="4" w:space="0"/>
              <w:bottom w:val="single" w:color="auto" w:sz="4" w:space="0"/>
              <w:right w:val="single" w:color="auto" w:sz="4" w:space="0"/>
            </w:tcBorders>
            <w:shd w:val="clear" w:color="000000" w:fill="FFFFFF"/>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鞋类（批发商）</w:t>
            </w:r>
          </w:p>
        </w:tc>
      </w:tr>
      <w:tr>
        <w:tblPrEx>
          <w:tblCellMar>
            <w:top w:w="0" w:type="dxa"/>
            <w:left w:w="108" w:type="dxa"/>
            <w:bottom w:w="0" w:type="dxa"/>
            <w:right w:w="108" w:type="dxa"/>
          </w:tblCellMar>
        </w:tblPrEx>
        <w:trPr>
          <w:trHeight w:val="50" w:hRule="atLeast"/>
          <w:jc w:val="center"/>
        </w:trPr>
        <w:tc>
          <w:tcPr>
            <w:tcW w:w="1271" w:type="dxa"/>
            <w:tcBorders>
              <w:top w:val="nil"/>
              <w:left w:val="single" w:color="auto" w:sz="4" w:space="0"/>
              <w:bottom w:val="single" w:color="auto" w:sz="4" w:space="0"/>
              <w:right w:val="single" w:color="auto" w:sz="4" w:space="0"/>
            </w:tcBorders>
            <w:shd w:val="clear" w:color="000000" w:fill="FFFFFF"/>
          </w:tcPr>
          <w:p>
            <w:pPr>
              <w:spacing w:line="240" w:lineRule="auto"/>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5172</w:t>
            </w:r>
          </w:p>
        </w:tc>
        <w:tc>
          <w:tcPr>
            <w:tcW w:w="5697" w:type="dxa"/>
            <w:tcBorders>
              <w:top w:val="nil"/>
              <w:left w:val="single" w:color="auto" w:sz="4" w:space="0"/>
              <w:bottom w:val="single" w:color="auto" w:sz="4" w:space="0"/>
              <w:right w:val="single" w:color="auto" w:sz="4" w:space="0"/>
            </w:tcBorders>
            <w:shd w:val="clear" w:color="000000" w:fill="FFFFFF"/>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石油及石油产品（批发商）</w:t>
            </w:r>
          </w:p>
        </w:tc>
      </w:tr>
      <w:tr>
        <w:tblPrEx>
          <w:tblCellMar>
            <w:top w:w="0" w:type="dxa"/>
            <w:left w:w="108" w:type="dxa"/>
            <w:bottom w:w="0" w:type="dxa"/>
            <w:right w:w="108" w:type="dxa"/>
          </w:tblCellMar>
        </w:tblPrEx>
        <w:trPr>
          <w:trHeight w:val="115" w:hRule="atLeast"/>
          <w:jc w:val="center"/>
        </w:trPr>
        <w:tc>
          <w:tcPr>
            <w:tcW w:w="1271" w:type="dxa"/>
            <w:tcBorders>
              <w:top w:val="nil"/>
              <w:left w:val="single" w:color="auto" w:sz="4" w:space="0"/>
              <w:bottom w:val="single" w:color="auto" w:sz="4" w:space="0"/>
              <w:right w:val="single" w:color="auto" w:sz="4" w:space="0"/>
            </w:tcBorders>
            <w:shd w:val="clear" w:color="000000" w:fill="FFFFFF"/>
          </w:tcPr>
          <w:p>
            <w:pPr>
              <w:spacing w:line="240" w:lineRule="auto"/>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5192</w:t>
            </w:r>
          </w:p>
        </w:tc>
        <w:tc>
          <w:tcPr>
            <w:tcW w:w="5697" w:type="dxa"/>
            <w:tcBorders>
              <w:top w:val="nil"/>
              <w:left w:val="single" w:color="auto" w:sz="4" w:space="0"/>
              <w:bottom w:val="single" w:color="auto" w:sz="4" w:space="0"/>
              <w:right w:val="single" w:color="auto" w:sz="4" w:space="0"/>
            </w:tcBorders>
            <w:shd w:val="clear" w:color="000000" w:fill="FFFFFF"/>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书、期刊和报纸（批发商）</w:t>
            </w:r>
          </w:p>
        </w:tc>
      </w:tr>
      <w:tr>
        <w:tblPrEx>
          <w:tblCellMar>
            <w:top w:w="0" w:type="dxa"/>
            <w:left w:w="108" w:type="dxa"/>
            <w:bottom w:w="0" w:type="dxa"/>
            <w:right w:w="108" w:type="dxa"/>
          </w:tblCellMar>
        </w:tblPrEx>
        <w:trPr>
          <w:trHeight w:val="78" w:hRule="atLeast"/>
          <w:jc w:val="center"/>
        </w:trPr>
        <w:tc>
          <w:tcPr>
            <w:tcW w:w="1271" w:type="dxa"/>
            <w:tcBorders>
              <w:top w:val="nil"/>
              <w:left w:val="single" w:color="auto" w:sz="4" w:space="0"/>
              <w:bottom w:val="single" w:color="auto" w:sz="4" w:space="0"/>
              <w:right w:val="single" w:color="auto" w:sz="4" w:space="0"/>
            </w:tcBorders>
            <w:shd w:val="clear" w:color="000000" w:fill="FFFFFF"/>
          </w:tcPr>
          <w:p>
            <w:pPr>
              <w:spacing w:line="240" w:lineRule="auto"/>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5193</w:t>
            </w:r>
          </w:p>
        </w:tc>
        <w:tc>
          <w:tcPr>
            <w:tcW w:w="5697" w:type="dxa"/>
            <w:tcBorders>
              <w:top w:val="nil"/>
              <w:left w:val="single" w:color="auto" w:sz="4" w:space="0"/>
              <w:bottom w:val="single" w:color="auto" w:sz="4" w:space="0"/>
              <w:right w:val="single" w:color="auto" w:sz="4" w:space="0"/>
            </w:tcBorders>
            <w:shd w:val="clear" w:color="000000" w:fill="FFFFFF"/>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花木栽种用品、苗木和花卉（批发商）</w:t>
            </w:r>
          </w:p>
        </w:tc>
      </w:tr>
      <w:tr>
        <w:tblPrEx>
          <w:tblCellMar>
            <w:top w:w="0" w:type="dxa"/>
            <w:left w:w="108" w:type="dxa"/>
            <w:bottom w:w="0" w:type="dxa"/>
            <w:right w:w="108" w:type="dxa"/>
          </w:tblCellMar>
        </w:tblPrEx>
        <w:trPr>
          <w:trHeight w:val="262" w:hRule="atLeast"/>
          <w:jc w:val="center"/>
        </w:trPr>
        <w:tc>
          <w:tcPr>
            <w:tcW w:w="1271" w:type="dxa"/>
            <w:tcBorders>
              <w:top w:val="nil"/>
              <w:left w:val="single" w:color="auto" w:sz="4" w:space="0"/>
              <w:bottom w:val="single" w:color="auto" w:sz="4" w:space="0"/>
              <w:right w:val="single" w:color="auto" w:sz="4" w:space="0"/>
            </w:tcBorders>
            <w:shd w:val="clear" w:color="000000" w:fill="FFFFFF"/>
          </w:tcPr>
          <w:p>
            <w:pPr>
              <w:spacing w:line="240" w:lineRule="auto"/>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5198</w:t>
            </w:r>
          </w:p>
        </w:tc>
        <w:tc>
          <w:tcPr>
            <w:tcW w:w="5697" w:type="dxa"/>
            <w:tcBorders>
              <w:top w:val="nil"/>
              <w:left w:val="single" w:color="auto" w:sz="4" w:space="0"/>
              <w:bottom w:val="single" w:color="auto" w:sz="4" w:space="0"/>
              <w:right w:val="single" w:color="auto" w:sz="4" w:space="0"/>
            </w:tcBorders>
            <w:shd w:val="clear" w:color="000000" w:fill="FFFFFF"/>
          </w:tcPr>
          <w:p>
            <w:pPr>
              <w:spacing w:line="24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油漆、清漆用品（批发商）</w:t>
            </w:r>
          </w:p>
        </w:tc>
      </w:tr>
    </w:tbl>
    <w:p>
      <w:pPr>
        <w:ind w:firstLine="560" w:firstLineChars="200"/>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我行将不定期更新不累计积分的商户类型。</w:t>
      </w:r>
    </w:p>
    <w:p>
      <w:pPr>
        <w:ind w:firstLine="560" w:firstLineChars="200"/>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注：商户类型以商户POS机设定的商户类别代码及商户编码为准，如因收单机构或商户错误使用商户类别代码和商户编码而影响积分累计的，桂林银行不承担相关责任。</w:t>
      </w:r>
    </w:p>
    <w:p>
      <w:pPr>
        <w:ind w:firstLine="560" w:firstLineChars="200"/>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3.下列项目不予计算积分：</w:t>
      </w:r>
    </w:p>
    <w:p>
      <w:pPr>
        <w:ind w:firstLine="560" w:firstLineChars="200"/>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（1）支付循环信用利息，年费、违约金、分期手续费及其它各项费用。</w:t>
      </w:r>
    </w:p>
    <w:p>
      <w:pPr>
        <w:ind w:firstLine="560" w:firstLineChars="200"/>
        <w:rPr>
          <w:rFonts w:hint="default"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（2）账单分期、一键分期、现金分期、POS分期等分期类业务。</w:t>
      </w:r>
    </w:p>
    <w:p>
      <w:pPr>
        <w:ind w:firstLine="560" w:firstLineChars="200"/>
        <w:rPr>
          <w:rFonts w:ascii="黑体" w:hAnsi="黑体" w:eastAsia="黑体"/>
          <w:color w:val="auto"/>
          <w:sz w:val="28"/>
          <w:szCs w:val="28"/>
          <w:highlight w:val="none"/>
        </w:rPr>
      </w:pPr>
      <w:r>
        <w:rPr>
          <w:rFonts w:hint="eastAsia" w:ascii="黑体" w:hAnsi="黑体" w:eastAsia="黑体"/>
          <w:color w:val="auto"/>
          <w:sz w:val="28"/>
          <w:szCs w:val="28"/>
          <w:highlight w:val="none"/>
        </w:rPr>
        <w:t>三、积分计算方式</w:t>
      </w:r>
    </w:p>
    <w:p>
      <w:pPr>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1.持卡人使用漓江系列信用卡进行可计积分交易，每满人民币</w:t>
      </w:r>
      <w:r>
        <w:rPr>
          <w:rFonts w:ascii="宋体" w:hAnsi="宋体" w:eastAsia="宋体"/>
          <w:color w:val="auto"/>
          <w:sz w:val="28"/>
          <w:szCs w:val="28"/>
          <w:highlight w:val="none"/>
        </w:rPr>
        <w:t>1元可获得1积分</w:t>
      </w:r>
      <w:r>
        <w:rPr>
          <w:rFonts w:hint="eastAsia" w:ascii="宋体" w:hAnsi="宋体" w:eastAsia="宋体"/>
          <w:color w:val="auto"/>
          <w:sz w:val="28"/>
          <w:szCs w:val="28"/>
          <w:highlight w:val="none"/>
        </w:rPr>
        <w:t>（不足1元部分不计积分），单笔最多累计1</w:t>
      </w:r>
      <w:r>
        <w:rPr>
          <w:rFonts w:ascii="宋体" w:hAnsi="宋体" w:eastAsia="宋体"/>
          <w:color w:val="auto"/>
          <w:sz w:val="28"/>
          <w:szCs w:val="28"/>
          <w:highlight w:val="none"/>
        </w:rPr>
        <w:t>0000</w:t>
      </w:r>
      <w:r>
        <w:rPr>
          <w:rFonts w:hint="eastAsia" w:ascii="宋体" w:hAnsi="宋体" w:eastAsia="宋体"/>
          <w:color w:val="auto"/>
          <w:sz w:val="28"/>
          <w:szCs w:val="28"/>
          <w:highlight w:val="none"/>
        </w:rPr>
        <w:t>积分，每月最多累计</w:t>
      </w:r>
      <w:r>
        <w:rPr>
          <w:rFonts w:ascii="宋体" w:hAnsi="宋体" w:eastAsia="宋体"/>
          <w:color w:val="auto"/>
          <w:sz w:val="28"/>
          <w:szCs w:val="28"/>
          <w:highlight w:val="none"/>
        </w:rPr>
        <w:t>50000</w:t>
      </w:r>
      <w:r>
        <w:rPr>
          <w:rFonts w:hint="eastAsia" w:ascii="宋体" w:hAnsi="宋体" w:eastAsia="宋体"/>
          <w:color w:val="auto"/>
          <w:sz w:val="28"/>
          <w:szCs w:val="28"/>
          <w:highlight w:val="none"/>
        </w:rPr>
        <w:t>积分。交易积分在消费入账日的次日记入信用卡积分账户。</w:t>
      </w:r>
    </w:p>
    <w:p>
      <w:pPr>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2.因信用卡签账单争议或其他原因而产生的退款事项，将依照退还款项的金额，将原先已经取得的积分按</w:t>
      </w:r>
      <w:r>
        <w:rPr>
          <w:rFonts w:hint="eastAsia" w:ascii="宋体" w:hAnsi="宋体" w:eastAsia="宋体"/>
          <w:color w:val="auto"/>
          <w:sz w:val="28"/>
          <w:szCs w:val="28"/>
          <w:highlight w:val="none"/>
          <w:lang w:val="en-US" w:eastAsia="zh-CN"/>
        </w:rPr>
        <w:t>退款</w:t>
      </w:r>
      <w:r>
        <w:rPr>
          <w:rFonts w:hint="eastAsia" w:ascii="宋体" w:hAnsi="宋体" w:eastAsia="宋体"/>
          <w:color w:val="auto"/>
          <w:sz w:val="28"/>
          <w:szCs w:val="28"/>
          <w:highlight w:val="none"/>
        </w:rPr>
        <w:t>比例予以调整。</w:t>
      </w:r>
    </w:p>
    <w:p>
      <w:pPr>
        <w:ind w:firstLine="56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3.对于活动奖励积分，有效期以具体活动说明为准。</w:t>
      </w:r>
    </w:p>
    <w:p>
      <w:pPr>
        <w:ind w:firstLine="560"/>
        <w:rPr>
          <w:rFonts w:hint="eastAsia" w:ascii="宋体" w:hAnsi="宋体" w:eastAsia="宋体"/>
          <w:color w:val="auto"/>
          <w:sz w:val="28"/>
          <w:szCs w:val="28"/>
          <w:highlight w:val="none"/>
        </w:rPr>
      </w:pPr>
      <w:r>
        <w:rPr>
          <w:rFonts w:hint="eastAsia" w:ascii="宋体" w:hAnsi="宋体" w:eastAsia="宋体"/>
          <w:color w:val="auto"/>
          <w:sz w:val="28"/>
          <w:szCs w:val="28"/>
          <w:highlight w:val="none"/>
          <w:lang w:val="en-US" w:eastAsia="zh-CN"/>
        </w:rPr>
        <w:t>4.</w:t>
      </w:r>
      <w:r>
        <w:rPr>
          <w:rFonts w:hint="eastAsia" w:ascii="宋体" w:hAnsi="宋体" w:eastAsia="宋体"/>
          <w:color w:val="auto"/>
          <w:sz w:val="28"/>
          <w:szCs w:val="28"/>
          <w:highlight w:val="none"/>
        </w:rPr>
        <w:t>如部分信用卡的积分</w:t>
      </w:r>
      <w:r>
        <w:rPr>
          <w:rFonts w:hint="eastAsia" w:ascii="宋体" w:hAnsi="宋体" w:eastAsia="宋体"/>
          <w:color w:val="auto"/>
          <w:sz w:val="28"/>
          <w:szCs w:val="28"/>
          <w:highlight w:val="none"/>
          <w:lang w:val="en-US" w:eastAsia="zh-CN"/>
        </w:rPr>
        <w:t>规则进行</w:t>
      </w:r>
      <w:r>
        <w:rPr>
          <w:rFonts w:hint="eastAsia" w:ascii="宋体" w:hAnsi="宋体" w:eastAsia="宋体"/>
          <w:color w:val="auto"/>
          <w:sz w:val="28"/>
          <w:szCs w:val="28"/>
          <w:highlight w:val="none"/>
        </w:rPr>
        <w:t>调整，详见</w:t>
      </w:r>
      <w:r>
        <w:rPr>
          <w:rFonts w:hint="eastAsia" w:ascii="宋体" w:hAnsi="宋体" w:eastAsia="宋体"/>
          <w:color w:val="auto"/>
          <w:sz w:val="28"/>
          <w:szCs w:val="28"/>
          <w:highlight w:val="none"/>
          <w:lang w:val="en-US" w:eastAsia="zh-CN"/>
        </w:rPr>
        <w:t>桂林银行关于</w:t>
      </w:r>
      <w:r>
        <w:rPr>
          <w:rFonts w:hint="eastAsia" w:ascii="宋体" w:hAnsi="宋体" w:eastAsia="宋体"/>
          <w:color w:val="auto"/>
          <w:sz w:val="28"/>
          <w:szCs w:val="28"/>
          <w:highlight w:val="none"/>
        </w:rPr>
        <w:t>信用卡</w:t>
      </w:r>
      <w:r>
        <w:rPr>
          <w:rFonts w:hint="eastAsia" w:ascii="宋体" w:hAnsi="宋体" w:eastAsia="宋体"/>
          <w:color w:val="auto"/>
          <w:sz w:val="28"/>
          <w:szCs w:val="28"/>
          <w:highlight w:val="none"/>
          <w:lang w:val="en-US" w:eastAsia="zh-CN"/>
        </w:rPr>
        <w:t>产品规则调整的最新公告</w:t>
      </w:r>
      <w:r>
        <w:rPr>
          <w:rFonts w:hint="eastAsia" w:ascii="宋体" w:hAnsi="宋体" w:eastAsia="宋体"/>
          <w:color w:val="auto"/>
          <w:sz w:val="28"/>
          <w:szCs w:val="28"/>
          <w:highlight w:val="none"/>
        </w:rPr>
        <w:t>。</w:t>
      </w:r>
    </w:p>
    <w:p>
      <w:pPr>
        <w:ind w:firstLine="560"/>
        <w:rPr>
          <w:rFonts w:hint="default"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5.桂林银行保留调整积分折算比例的权利，并在法律许可的范围内保留解释权。</w:t>
      </w:r>
    </w:p>
    <w:p>
      <w:pPr>
        <w:ind w:firstLine="560" w:firstLineChars="200"/>
        <w:rPr>
          <w:rFonts w:ascii="黑体" w:hAnsi="黑体" w:eastAsia="黑体"/>
          <w:color w:val="auto"/>
          <w:sz w:val="28"/>
          <w:szCs w:val="28"/>
          <w:highlight w:val="none"/>
        </w:rPr>
      </w:pPr>
      <w:r>
        <w:rPr>
          <w:rFonts w:hint="eastAsia" w:ascii="黑体" w:hAnsi="黑体" w:eastAsia="黑体"/>
          <w:color w:val="auto"/>
          <w:sz w:val="28"/>
          <w:szCs w:val="28"/>
          <w:highlight w:val="none"/>
        </w:rPr>
        <w:t>四、积分有效期</w:t>
      </w:r>
    </w:p>
    <w:p>
      <w:pPr>
        <w:ind w:firstLine="560"/>
        <w:rPr>
          <w:rFonts w:ascii="宋体" w:hAnsi="宋体" w:eastAsia="宋体"/>
          <w:color w:val="auto"/>
          <w:sz w:val="28"/>
          <w:szCs w:val="28"/>
          <w:highlight w:val="none"/>
        </w:rPr>
      </w:pPr>
      <w:r>
        <w:rPr>
          <w:rFonts w:hint="eastAsia" w:ascii="宋体" w:hAnsi="宋体" w:eastAsia="宋体"/>
          <w:color w:val="auto"/>
          <w:sz w:val="28"/>
          <w:szCs w:val="28"/>
          <w:highlight w:val="none"/>
        </w:rPr>
        <w:t>1.积分有效期为最长五年（以日历年度计算），当月产生积分于第五年对月月末过期清零。 例：2023年1月1日-1月31日间累计的积分，于202</w:t>
      </w:r>
      <w:r>
        <w:rPr>
          <w:rFonts w:hint="eastAsia" w:ascii="宋体" w:hAnsi="宋体" w:eastAsia="宋体"/>
          <w:color w:val="auto"/>
          <w:sz w:val="28"/>
          <w:szCs w:val="28"/>
          <w:highlight w:val="none"/>
          <w:lang w:val="en-US" w:eastAsia="zh-CN"/>
        </w:rPr>
        <w:t>8</w:t>
      </w:r>
      <w:r>
        <w:rPr>
          <w:rFonts w:hint="eastAsia" w:ascii="宋体" w:hAnsi="宋体" w:eastAsia="宋体"/>
          <w:color w:val="auto"/>
          <w:sz w:val="28"/>
          <w:szCs w:val="28"/>
          <w:highlight w:val="none"/>
        </w:rPr>
        <w:t>年1月31日到期清零失效，且不可再恢复，以此类推。</w:t>
      </w:r>
    </w:p>
    <w:p>
      <w:pPr>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2.</w:t>
      </w:r>
      <w:r>
        <w:rPr>
          <w:rFonts w:hint="eastAsia" w:ascii="宋体" w:hAnsi="宋体" w:eastAsia="宋体"/>
          <w:color w:val="auto"/>
          <w:sz w:val="28"/>
          <w:szCs w:val="28"/>
          <w:highlight w:val="none"/>
          <w:lang w:val="en-US" w:eastAsia="zh-CN"/>
        </w:rPr>
        <w:t>若</w:t>
      </w:r>
      <w:r>
        <w:rPr>
          <w:rFonts w:hint="eastAsia" w:ascii="宋体" w:hAnsi="宋体" w:eastAsia="宋体"/>
          <w:color w:val="auto"/>
          <w:sz w:val="28"/>
          <w:szCs w:val="28"/>
          <w:highlight w:val="none"/>
        </w:rPr>
        <w:t>持卡人</w:t>
      </w:r>
      <w:r>
        <w:rPr>
          <w:rFonts w:hint="eastAsia" w:ascii="宋体" w:hAnsi="宋体" w:eastAsia="宋体"/>
          <w:color w:val="auto"/>
          <w:sz w:val="28"/>
          <w:szCs w:val="28"/>
          <w:highlight w:val="none"/>
          <w:lang w:val="en-US" w:eastAsia="zh-CN"/>
        </w:rPr>
        <w:t>卡片超过一年未使用，或因</w:t>
      </w:r>
      <w:r>
        <w:rPr>
          <w:rFonts w:hint="eastAsia" w:ascii="宋体" w:hAnsi="宋体" w:eastAsia="宋体"/>
          <w:color w:val="auto"/>
          <w:sz w:val="28"/>
          <w:szCs w:val="28"/>
          <w:highlight w:val="none"/>
        </w:rPr>
        <w:t>到期不续卡</w:t>
      </w: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rPr>
        <w:t>注销卡片</w:t>
      </w:r>
      <w:r>
        <w:rPr>
          <w:rFonts w:hint="eastAsia" w:ascii="宋体" w:hAnsi="宋体" w:eastAsia="宋体"/>
          <w:color w:val="auto"/>
          <w:sz w:val="28"/>
          <w:szCs w:val="28"/>
          <w:highlight w:val="none"/>
          <w:lang w:val="en-US" w:eastAsia="zh-CN"/>
        </w:rPr>
        <w:t>导致其</w:t>
      </w:r>
      <w:r>
        <w:rPr>
          <w:rFonts w:hint="eastAsia" w:ascii="宋体" w:hAnsi="宋体" w:eastAsia="宋体"/>
          <w:color w:val="auto"/>
          <w:sz w:val="28"/>
          <w:szCs w:val="28"/>
          <w:highlight w:val="none"/>
        </w:rPr>
        <w:t>名下无正常使用的漓江系列信用卡，则其账户积分将在当年12月予以清零。</w:t>
      </w:r>
    </w:p>
    <w:p>
      <w:pPr>
        <w:ind w:firstLine="5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五、积分查询方式</w:t>
      </w:r>
    </w:p>
    <w:p>
      <w:pPr>
        <w:ind w:firstLine="560"/>
        <w:rPr>
          <w:rFonts w:ascii="宋体" w:hAnsi="宋体" w:eastAsia="宋体"/>
          <w:color w:val="auto"/>
          <w:sz w:val="28"/>
          <w:szCs w:val="28"/>
          <w:highlight w:val="none"/>
        </w:rPr>
      </w:pPr>
      <w:r>
        <w:rPr>
          <w:rFonts w:hint="eastAsia" w:ascii="宋体" w:hAnsi="宋体" w:eastAsia="宋体"/>
          <w:color w:val="auto"/>
          <w:sz w:val="28"/>
          <w:szCs w:val="28"/>
          <w:highlight w:val="none"/>
        </w:rPr>
        <w:t>1.持卡人可通过桂林银行手机银行</w:t>
      </w:r>
      <w:r>
        <w:rPr>
          <w:rFonts w:hint="eastAsia" w:ascii="宋体" w:hAnsi="宋体" w:eastAsia="宋体"/>
          <w:color w:val="auto"/>
          <w:sz w:val="28"/>
          <w:szCs w:val="28"/>
          <w:highlight w:val="none"/>
          <w:lang w:val="en-US" w:eastAsia="zh-CN"/>
        </w:rPr>
        <w:t>APP</w:t>
      </w:r>
      <w:r>
        <w:rPr>
          <w:rFonts w:hint="eastAsia" w:ascii="宋体" w:hAnsi="宋体" w:eastAsia="宋体"/>
          <w:color w:val="auto"/>
          <w:sz w:val="28"/>
          <w:szCs w:val="28"/>
          <w:highlight w:val="none"/>
        </w:rPr>
        <w:t>、</w:t>
      </w:r>
      <w:r>
        <w:rPr>
          <w:rFonts w:hint="eastAsia" w:ascii="宋体" w:hAnsi="宋体" w:eastAsia="宋体"/>
          <w:color w:val="auto"/>
          <w:sz w:val="28"/>
          <w:szCs w:val="28"/>
          <w:highlight w:val="none"/>
          <w:lang w:val="en-US" w:eastAsia="zh-CN"/>
        </w:rPr>
        <w:t>桂林银行信用卡微信公众号</w:t>
      </w:r>
      <w:r>
        <w:rPr>
          <w:rFonts w:hint="eastAsia" w:ascii="宋体" w:hAnsi="宋体" w:eastAsia="宋体"/>
          <w:color w:val="auto"/>
          <w:sz w:val="28"/>
          <w:szCs w:val="28"/>
          <w:highlight w:val="none"/>
        </w:rPr>
        <w:t>查询积分余额及明细。</w:t>
      </w:r>
    </w:p>
    <w:p>
      <w:pPr>
        <w:ind w:firstLine="560"/>
        <w:rPr>
          <w:rFonts w:ascii="宋体" w:hAnsi="宋体" w:eastAsia="宋体"/>
          <w:color w:val="auto"/>
          <w:sz w:val="28"/>
          <w:szCs w:val="28"/>
          <w:highlight w:val="none"/>
        </w:rPr>
      </w:pPr>
      <w:r>
        <w:rPr>
          <w:rFonts w:hint="eastAsia" w:ascii="宋体" w:hAnsi="宋体" w:eastAsia="宋体"/>
          <w:color w:val="auto"/>
          <w:sz w:val="28"/>
          <w:szCs w:val="28"/>
          <w:highlight w:val="none"/>
        </w:rPr>
        <w:t>2.桂林银行将根据业务发展，对积分查询渠道进行调整、补充或完善。如持卡人对积分交易明细有疑义，可致电客户服务热线96299查询。</w:t>
      </w:r>
    </w:p>
    <w:p>
      <w:pPr>
        <w:ind w:firstLine="5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六、积分兑换方式</w:t>
      </w:r>
    </w:p>
    <w:p>
      <w:pPr>
        <w:ind w:firstLine="560"/>
        <w:rPr>
          <w:rFonts w:ascii="宋体" w:hAnsi="宋体" w:eastAsia="宋体"/>
          <w:color w:val="auto"/>
          <w:sz w:val="28"/>
          <w:szCs w:val="28"/>
          <w:highlight w:val="none"/>
        </w:rPr>
      </w:pPr>
      <w:r>
        <w:rPr>
          <w:rFonts w:hint="eastAsia" w:ascii="宋体" w:hAnsi="宋体" w:eastAsia="宋体"/>
          <w:color w:val="auto"/>
          <w:sz w:val="28"/>
          <w:szCs w:val="28"/>
          <w:highlight w:val="none"/>
        </w:rPr>
        <w:t>1.积分可通过积分商城、积分抵扣、积分活动等渠道进行兑换。</w:t>
      </w:r>
    </w:p>
    <w:p>
      <w:pPr>
        <w:ind w:firstLine="560"/>
        <w:rPr>
          <w:rFonts w:ascii="宋体" w:hAnsi="宋体" w:eastAsia="宋体"/>
          <w:color w:val="auto"/>
          <w:sz w:val="28"/>
          <w:szCs w:val="28"/>
          <w:highlight w:val="none"/>
        </w:rPr>
      </w:pPr>
      <w:r>
        <w:rPr>
          <w:rFonts w:hint="eastAsia" w:ascii="宋体" w:hAnsi="宋体" w:eastAsia="宋体"/>
          <w:color w:val="auto"/>
          <w:sz w:val="28"/>
          <w:szCs w:val="28"/>
          <w:highlight w:val="none"/>
        </w:rPr>
        <w:t>2.持卡人可依照本规则申请兑换积分商城礼品，可兑换的积分礼品以网站最新公布信息为准。通过信用卡积分商城在线兑换积分礼品，申请是否成功将视持卡人积分是否足够扣减、礼品库存情况确定。</w:t>
      </w:r>
    </w:p>
    <w:p>
      <w:pPr>
        <w:ind w:firstLine="560"/>
        <w:rPr>
          <w:rFonts w:ascii="宋体" w:hAnsi="宋体" w:eastAsia="宋体"/>
          <w:color w:val="auto"/>
          <w:sz w:val="28"/>
          <w:szCs w:val="28"/>
          <w:highlight w:val="none"/>
        </w:rPr>
      </w:pPr>
      <w:r>
        <w:rPr>
          <w:rFonts w:hint="eastAsia" w:ascii="宋体" w:hAnsi="宋体" w:eastAsia="宋体"/>
          <w:color w:val="auto"/>
          <w:sz w:val="28"/>
          <w:szCs w:val="28"/>
          <w:highlight w:val="none"/>
        </w:rPr>
        <w:t>3.积分商城兑换申请方式</w:t>
      </w:r>
    </w:p>
    <w:p>
      <w:pPr>
        <w:ind w:firstLine="560"/>
        <w:rPr>
          <w:rFonts w:ascii="宋体" w:hAnsi="宋体" w:eastAsia="宋体"/>
          <w:color w:val="auto"/>
          <w:sz w:val="28"/>
          <w:szCs w:val="28"/>
          <w:highlight w:val="none"/>
        </w:rPr>
      </w:pPr>
      <w:r>
        <w:rPr>
          <w:rFonts w:hint="eastAsia" w:ascii="宋体" w:hAnsi="宋体" w:eastAsia="宋体"/>
          <w:color w:val="auto"/>
          <w:sz w:val="28"/>
          <w:szCs w:val="28"/>
          <w:highlight w:val="none"/>
        </w:rPr>
        <w:t>（1）持卡人登录积分商城，选择积分礼品后，按提示下订单，通过确认礼品数量、配送地址等兑换信息后，可提交订单。所有礼品兑换一经申请，即不可取消或更改。</w:t>
      </w:r>
    </w:p>
    <w:p>
      <w:pPr>
        <w:ind w:firstLine="560"/>
        <w:rPr>
          <w:rFonts w:ascii="宋体" w:hAnsi="宋体" w:eastAsia="宋体"/>
          <w:color w:val="auto"/>
          <w:sz w:val="28"/>
          <w:szCs w:val="28"/>
          <w:highlight w:val="none"/>
        </w:rPr>
      </w:pPr>
      <w:r>
        <w:rPr>
          <w:rFonts w:hint="eastAsia" w:ascii="宋体" w:hAnsi="宋体" w:eastAsia="宋体"/>
          <w:color w:val="auto"/>
          <w:sz w:val="28"/>
          <w:szCs w:val="28"/>
          <w:highlight w:val="none"/>
        </w:rPr>
        <w:t>（2）持卡人提出兑换申请即视为同意桂林银行将持卡人姓名、联系电话、对账单地址等配送信息提交礼品供应商及配送单位并接受礼品配送服务。</w:t>
      </w:r>
    </w:p>
    <w:p>
      <w:pPr>
        <w:ind w:firstLine="560"/>
        <w:rPr>
          <w:rFonts w:ascii="宋体" w:hAnsi="宋体" w:eastAsia="宋体"/>
          <w:color w:val="auto"/>
          <w:sz w:val="28"/>
          <w:szCs w:val="28"/>
          <w:highlight w:val="none"/>
        </w:rPr>
      </w:pPr>
      <w:r>
        <w:rPr>
          <w:rFonts w:hint="eastAsia" w:ascii="宋体" w:hAnsi="宋体" w:eastAsia="宋体"/>
          <w:color w:val="auto"/>
          <w:sz w:val="28"/>
          <w:szCs w:val="28"/>
          <w:highlight w:val="none"/>
        </w:rPr>
        <w:t>（3）桂林银行手机银行或宣传品中的积分礼品图片仅供参考，以实物为准，部分礼品颜色、花色随机发送。</w:t>
      </w:r>
    </w:p>
    <w:p>
      <w:pPr>
        <w:ind w:firstLine="560"/>
        <w:rPr>
          <w:rFonts w:ascii="宋体" w:hAnsi="宋体" w:eastAsia="宋体"/>
          <w:color w:val="auto"/>
          <w:sz w:val="28"/>
          <w:szCs w:val="28"/>
          <w:highlight w:val="none"/>
        </w:rPr>
      </w:pPr>
      <w:r>
        <w:rPr>
          <w:rFonts w:hint="eastAsia" w:ascii="宋体" w:hAnsi="宋体" w:eastAsia="宋体"/>
          <w:color w:val="auto"/>
          <w:sz w:val="28"/>
          <w:szCs w:val="28"/>
          <w:highlight w:val="none"/>
        </w:rPr>
        <w:t>（4）积分礼品兑换属回馈活动，不提供发票。若非质量问题，所有积分礼品均不可退货、换货、退款、退积分或兑换现金。如所兑换的积分礼品在运送过程中毁损或积分礼品本身有质量问题时，持卡人须在签收日起的 7天内致电礼品包装上注明的礼品供应商销售热线提出换货申请，超过7天将不予受理。退回时，请务必保留原包装、内附说明书、附件及相关凭证。如持卡人在使用过程中发现礼品质量问题，可致电礼品供应商申请维修。</w:t>
      </w:r>
    </w:p>
    <w:p>
      <w:pPr>
        <w:ind w:firstLine="560"/>
        <w:rPr>
          <w:rFonts w:ascii="宋体" w:hAnsi="宋体" w:eastAsia="宋体"/>
          <w:color w:val="auto"/>
          <w:sz w:val="28"/>
          <w:szCs w:val="28"/>
          <w:highlight w:val="none"/>
        </w:rPr>
      </w:pPr>
      <w:r>
        <w:rPr>
          <w:rFonts w:hint="eastAsia" w:ascii="宋体" w:hAnsi="宋体" w:eastAsia="宋体"/>
          <w:color w:val="auto"/>
          <w:sz w:val="28"/>
          <w:szCs w:val="28"/>
          <w:highlight w:val="none"/>
        </w:rPr>
        <w:t>（5）持卡人应在兑换申请前核实对账单地址、邮编、手机号码，确保相关信息的正确及完整。对因持卡人预留信息不详、错误，或发生变更但未及时通知桂林银行，或无人收货等原因造成的延迟送达、未能送达，均由持卡人自行负责。</w:t>
      </w:r>
    </w:p>
    <w:p>
      <w:pPr>
        <w:ind w:firstLine="56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（6）持卡人或代签收人在签收礼品时应当场检查礼品的完好性，若存在质量问题或缺损可拒绝签收；持卡人或代签收人一旦签收即代表已收到礼品且礼品表面完好。</w:t>
      </w:r>
    </w:p>
    <w:p>
      <w:pPr>
        <w:ind w:firstLine="560"/>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4.积分抵扣</w:t>
      </w:r>
    </w:p>
    <w:p>
      <w:pPr>
        <w:ind w:firstLine="560"/>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1）持卡人开通云闪付“积分抵现”后，在12306、京东、拼多多、唯品会、云闪付APP指定场景通过“云闪付支付”使用桂林银行漓江系列信用卡支付时，可使用积分抵扣部分订单金额。单笔订单限抵扣原订单支付金额的5%，单笔最高抵扣上限5元，积分总额不足订单金额5%则不抵扣。同一用户每日限1笔，每自然月限5笔。</w:t>
      </w:r>
    </w:p>
    <w:p>
      <w:pPr>
        <w:ind w:firstLine="560"/>
        <w:rPr>
          <w:rFonts w:hint="default"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注：京东App中“海淘类”、“京东到家”和“虚拟类”商品( 如充值缴费等 )暂不支持积分抵现；云闪付App暂仅支持“生活缴费”和“云影票购票”可享受积分抵现优惠。</w:t>
      </w:r>
    </w:p>
    <w:p>
      <w:pPr>
        <w:ind w:firstLine="560"/>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（2）开通路径：云闪付APP-我的-设置-支付设置-红包/积分使用设置-使用积分抵扣。</w:t>
      </w:r>
    </w:p>
    <w:p>
      <w:pPr>
        <w:ind w:firstLine="560"/>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（3）支付时，如已享受云闪付立减或优惠券活动，则无法叠加使用积分抵扣优惠。</w:t>
      </w:r>
    </w:p>
    <w:p>
      <w:pPr>
        <w:ind w:firstLine="560"/>
        <w:rPr>
          <w:rFonts w:hint="default"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（4）发生退款时，银行卡支付部分将会原路退回至支付时使用的银行卡，积分抵扣部分退还规则为：退货金额/订单金额*总抵扣积分数。</w:t>
      </w:r>
    </w:p>
    <w:p>
      <w:pPr>
        <w:ind w:firstLine="560"/>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5.积分活动</w:t>
      </w:r>
    </w:p>
    <w:p>
      <w:pPr>
        <w:ind w:firstLine="560"/>
        <w:rPr>
          <w:rFonts w:hint="default"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桂林银行漓江系列信用卡其他阶段性积分活动，详细规则以具体活动说明为准。</w:t>
      </w:r>
    </w:p>
    <w:p>
      <w:pPr>
        <w:ind w:firstLine="5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七、法律关系</w:t>
      </w:r>
    </w:p>
    <w:p>
      <w:pPr>
        <w:ind w:firstLine="560"/>
        <w:rPr>
          <w:rFonts w:ascii="宋体" w:hAnsi="宋体" w:eastAsia="宋体"/>
          <w:color w:val="auto"/>
          <w:sz w:val="28"/>
          <w:szCs w:val="28"/>
          <w:highlight w:val="none"/>
        </w:rPr>
      </w:pPr>
      <w:r>
        <w:rPr>
          <w:rFonts w:hint="eastAsia" w:ascii="宋体" w:hAnsi="宋体" w:eastAsia="宋体"/>
          <w:color w:val="auto"/>
          <w:sz w:val="28"/>
          <w:szCs w:val="28"/>
          <w:highlight w:val="none"/>
        </w:rPr>
        <w:t>本积分规则所提供的各项礼品及服务，系本积分奖励计划供应商直接提供予客户，桂林银行与积分礼品供应商之间不存在经销、代理、共同出卖人、广告媒体或保证人关系；所有涉及到积分兑换礼品的质量或售后服务均由积分礼品供应商全权负责。</w:t>
      </w:r>
    </w:p>
    <w:p>
      <w:pPr>
        <w:ind w:firstLine="5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八、修改及终止</w:t>
      </w:r>
    </w:p>
    <w:p>
      <w:pPr>
        <w:ind w:firstLine="560"/>
        <w:rPr>
          <w:rFonts w:ascii="宋体" w:hAnsi="宋体" w:eastAsia="宋体"/>
          <w:color w:val="auto"/>
          <w:sz w:val="28"/>
          <w:szCs w:val="28"/>
          <w:highlight w:val="none"/>
        </w:rPr>
      </w:pPr>
      <w:r>
        <w:rPr>
          <w:rFonts w:hint="eastAsia" w:ascii="宋体" w:hAnsi="宋体" w:eastAsia="宋体"/>
          <w:color w:val="auto"/>
          <w:sz w:val="28"/>
          <w:szCs w:val="28"/>
          <w:highlight w:val="none"/>
        </w:rPr>
        <w:t>1.桂林银行有权根据需要取消或修改相关规则（包括但不限于参加资格、计分规则、礼品及兑换标准等），</w:t>
      </w:r>
      <w:r>
        <w:rPr>
          <w:rFonts w:hint="eastAsia" w:ascii="宋体" w:hAnsi="宋体" w:eastAsia="宋体"/>
          <w:color w:val="auto"/>
          <w:sz w:val="28"/>
          <w:szCs w:val="28"/>
          <w:highlight w:val="none"/>
          <w:lang w:val="en-US" w:eastAsia="zh-CN"/>
        </w:rPr>
        <w:t>规则调整将通过桂林银行网站公告，七天后生效</w:t>
      </w:r>
      <w:r>
        <w:rPr>
          <w:rFonts w:hint="eastAsia" w:ascii="宋体" w:hAnsi="宋体" w:eastAsia="宋体"/>
          <w:color w:val="auto"/>
          <w:sz w:val="28"/>
          <w:szCs w:val="28"/>
          <w:highlight w:val="none"/>
        </w:rPr>
        <w:t>。公告期内如持卡人对公告内容有疑问，可致电桂林银行客户服务热线进行咨询。</w:t>
      </w:r>
    </w:p>
    <w:p>
      <w:pPr>
        <w:ind w:firstLine="560"/>
        <w:rPr>
          <w:rFonts w:ascii="宋体" w:hAnsi="宋体" w:eastAsia="宋体"/>
          <w:color w:val="auto"/>
          <w:sz w:val="28"/>
          <w:szCs w:val="28"/>
          <w:highlight w:val="none"/>
        </w:rPr>
      </w:pPr>
      <w:r>
        <w:rPr>
          <w:rFonts w:hint="eastAsia" w:ascii="宋体" w:hAnsi="宋体" w:eastAsia="宋体"/>
          <w:color w:val="auto"/>
          <w:sz w:val="28"/>
          <w:szCs w:val="28"/>
          <w:highlight w:val="none"/>
        </w:rPr>
        <w:t>2.持卡人有权在桂林银行公告期间选择是否继续使用桂林银行漓江系列信用卡及相关服务，如果持卡人不愿接受桂林银行公告内容的，应在桂林银行公告施行前向桂林银行申请变更或终止相关服务；如果持卡人未申请变更或终止相关服务，视为持卡人同意相关调整，变更后的内容对持卡人产生法律约束力，若持卡人不执行变更后的内容，桂林银行有权选择终止本服务。</w:t>
      </w:r>
    </w:p>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jZjQzMWUxMzg4MjgzMTI5OWFhODVhMjYyNTBkM2YifQ=="/>
  </w:docVars>
  <w:rsids>
    <w:rsidRoot w:val="00C16895"/>
    <w:rsid w:val="001C4E6C"/>
    <w:rsid w:val="00B13967"/>
    <w:rsid w:val="00C16895"/>
    <w:rsid w:val="03A367D0"/>
    <w:rsid w:val="04754802"/>
    <w:rsid w:val="05C56621"/>
    <w:rsid w:val="06AC4312"/>
    <w:rsid w:val="06E10F11"/>
    <w:rsid w:val="0801434A"/>
    <w:rsid w:val="08CD00CC"/>
    <w:rsid w:val="09390A99"/>
    <w:rsid w:val="0A017170"/>
    <w:rsid w:val="0A4B6EF0"/>
    <w:rsid w:val="0A8F3F52"/>
    <w:rsid w:val="0E8161D1"/>
    <w:rsid w:val="0F4E3D24"/>
    <w:rsid w:val="0FF77B3E"/>
    <w:rsid w:val="10E30B54"/>
    <w:rsid w:val="11330D2C"/>
    <w:rsid w:val="11A40220"/>
    <w:rsid w:val="13E30CC9"/>
    <w:rsid w:val="15A37F62"/>
    <w:rsid w:val="188C4D77"/>
    <w:rsid w:val="18C55A07"/>
    <w:rsid w:val="1B650551"/>
    <w:rsid w:val="1D9203DA"/>
    <w:rsid w:val="1EB40738"/>
    <w:rsid w:val="1FF40688"/>
    <w:rsid w:val="211641D5"/>
    <w:rsid w:val="21AF3010"/>
    <w:rsid w:val="21F351CB"/>
    <w:rsid w:val="221343BE"/>
    <w:rsid w:val="22882E5E"/>
    <w:rsid w:val="25294E5F"/>
    <w:rsid w:val="26330312"/>
    <w:rsid w:val="276D0E05"/>
    <w:rsid w:val="27703167"/>
    <w:rsid w:val="2948155D"/>
    <w:rsid w:val="29510461"/>
    <w:rsid w:val="2AE507A8"/>
    <w:rsid w:val="2C7802D0"/>
    <w:rsid w:val="2E057444"/>
    <w:rsid w:val="2FD361C7"/>
    <w:rsid w:val="319D7FE2"/>
    <w:rsid w:val="34637732"/>
    <w:rsid w:val="351D5B33"/>
    <w:rsid w:val="36AD7F33"/>
    <w:rsid w:val="3A920098"/>
    <w:rsid w:val="3A986081"/>
    <w:rsid w:val="3B5018D8"/>
    <w:rsid w:val="3C6200DB"/>
    <w:rsid w:val="3C7956FD"/>
    <w:rsid w:val="3DEE759F"/>
    <w:rsid w:val="3E8B7FB1"/>
    <w:rsid w:val="3E975E7F"/>
    <w:rsid w:val="42B36679"/>
    <w:rsid w:val="45141DD1"/>
    <w:rsid w:val="463D6A8A"/>
    <w:rsid w:val="468F1A5C"/>
    <w:rsid w:val="46FB541D"/>
    <w:rsid w:val="47DD46E4"/>
    <w:rsid w:val="47F71A1A"/>
    <w:rsid w:val="48217291"/>
    <w:rsid w:val="4997414F"/>
    <w:rsid w:val="4B7257B4"/>
    <w:rsid w:val="4B9E53A6"/>
    <w:rsid w:val="4BAB1AC0"/>
    <w:rsid w:val="4C1F3627"/>
    <w:rsid w:val="4ECC264C"/>
    <w:rsid w:val="4F3E53FF"/>
    <w:rsid w:val="509E5922"/>
    <w:rsid w:val="50F0381E"/>
    <w:rsid w:val="51C2296C"/>
    <w:rsid w:val="537F56AD"/>
    <w:rsid w:val="545C1D7C"/>
    <w:rsid w:val="55C54977"/>
    <w:rsid w:val="55D9483A"/>
    <w:rsid w:val="56812DB2"/>
    <w:rsid w:val="56EC462C"/>
    <w:rsid w:val="5B5B57A3"/>
    <w:rsid w:val="5B8576D0"/>
    <w:rsid w:val="5C321615"/>
    <w:rsid w:val="5DAC5805"/>
    <w:rsid w:val="5F7A34B7"/>
    <w:rsid w:val="60D809DC"/>
    <w:rsid w:val="6108544E"/>
    <w:rsid w:val="62806524"/>
    <w:rsid w:val="62A82630"/>
    <w:rsid w:val="637F6732"/>
    <w:rsid w:val="6B4E1C6E"/>
    <w:rsid w:val="6DCF5551"/>
    <w:rsid w:val="6DCF5E5C"/>
    <w:rsid w:val="6DDC363B"/>
    <w:rsid w:val="72031631"/>
    <w:rsid w:val="72660E5A"/>
    <w:rsid w:val="72756CF5"/>
    <w:rsid w:val="75B54CE0"/>
    <w:rsid w:val="769E2DAB"/>
    <w:rsid w:val="79D90F5A"/>
    <w:rsid w:val="7A04336F"/>
    <w:rsid w:val="7D6069D3"/>
    <w:rsid w:val="7EC263A7"/>
    <w:rsid w:val="7EC84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3">
    <w:name w:val="footer"/>
    <w:basedOn w:val="1"/>
    <w:link w:val="11"/>
    <w:qFormat/>
    <w:uiPriority w:val="0"/>
    <w:pPr>
      <w:tabs>
        <w:tab w:val="center" w:pos="4153"/>
        <w:tab w:val="right" w:pos="8306"/>
      </w:tabs>
      <w:snapToGrid w:val="0"/>
      <w:spacing w:line="240" w:lineRule="atLeast"/>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spacing w:line="240" w:lineRule="atLeast"/>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0">
    <w:name w:val="页眉 字符"/>
    <w:basedOn w:val="7"/>
    <w:link w:val="4"/>
    <w:qFormat/>
    <w:uiPriority w:val="0"/>
    <w:rPr>
      <w:kern w:val="2"/>
      <w:sz w:val="18"/>
      <w:szCs w:val="18"/>
    </w:rPr>
  </w:style>
  <w:style w:type="character" w:customStyle="1" w:styleId="11">
    <w:name w:val="页脚 字符"/>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3067</Words>
  <Characters>3307</Characters>
  <Lines>26</Lines>
  <Paragraphs>7</Paragraphs>
  <TotalTime>20</TotalTime>
  <ScaleCrop>false</ScaleCrop>
  <LinksUpToDate>false</LinksUpToDate>
  <CharactersWithSpaces>3309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2023-05-16T14:21:00Z</dcterms:created>
  <dc:creator>59176</dc:creator>
  <cp:lastModifiedBy>唐国彩</cp:lastModifiedBy>
  <dcterms:modified xsi:type="dcterms:W3CDTF">2023-12-28T09:52:56Z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ED657F34E6BF43B7A1B3170833FCC435_13</vt:lpwstr>
  </property>
</Properties>
</file>