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ascii="小标宋" w:eastAsia="小标宋"/>
          <w:sz w:val="44"/>
          <w:highlight w:val="none"/>
        </w:rPr>
      </w:pPr>
      <w:r>
        <w:rPr>
          <w:rFonts w:hint="eastAsia" w:ascii="小标宋" w:eastAsia="小标宋"/>
          <w:sz w:val="44"/>
          <w:highlight w:val="none"/>
        </w:rPr>
        <w:t>桂林银行信用卡账单分期协议</w:t>
      </w:r>
    </w:p>
    <w:p>
      <w:pPr>
        <w:ind w:firstLine="0" w:firstLineChars="0"/>
        <w:jc w:val="center"/>
        <w:rPr>
          <w:rFonts w:ascii="小标宋" w:eastAsia="小标宋"/>
          <w:highlight w:val="none"/>
        </w:rPr>
      </w:pPr>
    </w:p>
    <w:p>
      <w:pPr>
        <w:ind w:firstLine="643" w:firstLineChars="200"/>
        <w:rPr>
          <w:rFonts w:ascii="仿宋_GB2312"/>
          <w:b/>
          <w:highlight w:val="none"/>
        </w:rPr>
      </w:pPr>
      <w:r>
        <w:rPr>
          <w:rFonts w:hint="eastAsia" w:ascii="仿宋_GB2312"/>
          <w:b/>
          <w:highlight w:val="none"/>
        </w:rPr>
        <w:t>如桂林银行信用卡持卡人（以下简称“持卡人”）申请桂林银行（以下简称“本行”）信用卡账单分期业务（以下简称“本业务”），即表示已阅读、理解并接受《桂林银行信用卡账单分期协议》（以下简称“协议”）的全部条款和内容，并愿意受此约束。</w:t>
      </w:r>
    </w:p>
    <w:p>
      <w:pPr>
        <w:ind w:firstLine="643" w:firstLineChars="200"/>
        <w:rPr>
          <w:rFonts w:ascii="仿宋_GB2312"/>
          <w:highlight w:val="none"/>
        </w:rPr>
      </w:pPr>
      <w:r>
        <w:rPr>
          <w:rFonts w:hint="eastAsia" w:ascii="仿宋_GB2312"/>
          <w:b/>
          <w:highlight w:val="none"/>
        </w:rPr>
        <w:t>第一条 声明事项</w:t>
      </w:r>
    </w:p>
    <w:p>
      <w:pPr>
        <w:ind w:firstLine="640" w:firstLineChars="200"/>
        <w:rPr>
          <w:rFonts w:ascii="仿宋_GB2312"/>
          <w:highlight w:val="none"/>
        </w:rPr>
      </w:pPr>
      <w:r>
        <w:rPr>
          <w:rFonts w:hint="eastAsia" w:ascii="仿宋_GB2312"/>
          <w:highlight w:val="none"/>
        </w:rPr>
        <w:t>1.账单分期是本行为符合条件的持卡人提供的，对持卡人当期已出账单提供的分期付款服务。持卡人可在账单日之后，到期还款日之前，申请将当月账单的部分金额（以下简称“可分期金额”）进行分期。</w:t>
      </w:r>
    </w:p>
    <w:p>
      <w:pPr>
        <w:ind w:firstLine="640" w:firstLineChars="200"/>
        <w:rPr>
          <w:rFonts w:ascii="仿宋_GB2312"/>
          <w:highlight w:val="none"/>
        </w:rPr>
      </w:pPr>
      <w:r>
        <w:rPr>
          <w:rFonts w:hint="eastAsia" w:ascii="仿宋_GB2312"/>
          <w:highlight w:val="none"/>
        </w:rPr>
        <w:t>2.本业务限本行信用卡持卡人申请。</w:t>
      </w:r>
    </w:p>
    <w:p>
      <w:pPr>
        <w:ind w:firstLine="640" w:firstLineChars="200"/>
        <w:rPr>
          <w:rFonts w:ascii="仿宋_GB2312"/>
          <w:highlight w:val="none"/>
        </w:rPr>
      </w:pPr>
      <w:r>
        <w:rPr>
          <w:rFonts w:hint="eastAsia" w:ascii="仿宋_GB2312"/>
          <w:highlight w:val="none"/>
        </w:rPr>
        <w:t>3.持卡人可通过本行手机银行、网上银行等渠道申请本业务，具体流程以各渠道的实际展示为准。</w:t>
      </w:r>
    </w:p>
    <w:p>
      <w:pPr>
        <w:ind w:firstLine="643" w:firstLineChars="200"/>
        <w:rPr>
          <w:rFonts w:ascii="仿宋_GB2312"/>
          <w:highlight w:val="none"/>
        </w:rPr>
      </w:pPr>
      <w:r>
        <w:rPr>
          <w:rFonts w:ascii="仿宋_GB2312"/>
          <w:b/>
          <w:highlight w:val="none"/>
        </w:rPr>
        <w:t>4</w:t>
      </w:r>
      <w:r>
        <w:rPr>
          <w:rFonts w:hint="eastAsia" w:ascii="仿宋_GB2312"/>
          <w:b/>
          <w:highlight w:val="none"/>
        </w:rPr>
        <w:t>.持卡人申请本业务,视为其已同意并授权本行在审核其业务申请（包括资格审核、授信审批等）、进行后续风险管理、异议核查等相关业务时，向有关方面（包括但不限于中国人民银行个人信用信息基础数据库）了解和查询其财产信息、信用信息等个人信息，并根据国家法律法规要求和业务需要保留上述相关资料；同意并授权本行向中国人民银行个人信用信息基础数据库报送其个人信用信息（包括不良信息）。持卡人知悉并理解本授权条款。本行依法对采集、处理、传递及使用的持卡人的个人信息承担保密责任。</w:t>
      </w:r>
    </w:p>
    <w:p>
      <w:pPr>
        <w:ind w:firstLine="643" w:firstLineChars="200"/>
        <w:rPr>
          <w:rFonts w:ascii="仿宋_GB2312"/>
          <w:b/>
          <w:highlight w:val="none"/>
        </w:rPr>
      </w:pPr>
      <w:r>
        <w:rPr>
          <w:rFonts w:ascii="仿宋_GB2312"/>
          <w:b/>
          <w:highlight w:val="none"/>
        </w:rPr>
        <w:t>5</w:t>
      </w:r>
      <w:r>
        <w:rPr>
          <w:rFonts w:hint="eastAsia" w:ascii="仿宋_GB2312"/>
          <w:b/>
          <w:highlight w:val="none"/>
        </w:rPr>
        <w:t>.持卡人确认：持卡人在申请、使用本业务过程中，本协议内容、本行手机银行上显示内容、本行发送到持卡人手机的信息（短信或电话等）等均是持卡人使用本业务的相关规则，持卡人申请本业务即表示持卡人同意接受本业务的所有规则。</w:t>
      </w:r>
    </w:p>
    <w:p>
      <w:pPr>
        <w:ind w:firstLine="643" w:firstLineChars="200"/>
        <w:rPr>
          <w:rFonts w:ascii="仿宋_GB2312"/>
          <w:highlight w:val="none"/>
        </w:rPr>
      </w:pPr>
      <w:r>
        <w:rPr>
          <w:rFonts w:ascii="仿宋_GB2312"/>
          <w:b/>
          <w:highlight w:val="none"/>
        </w:rPr>
        <w:t>6</w:t>
      </w:r>
      <w:r>
        <w:rPr>
          <w:rFonts w:hint="eastAsia" w:ascii="仿宋_GB2312"/>
          <w:b/>
          <w:highlight w:val="none"/>
        </w:rPr>
        <w:t>.持卡人承诺：持卡人在使用本业务时，实施的所有行为均未违反法律、法规和社会公共利益或公共道德。持卡人利用本业务从事违法活动或不正当交易等产生的一切后果与责任，由持卡人独立承担。</w:t>
      </w:r>
    </w:p>
    <w:p>
      <w:pPr>
        <w:ind w:firstLine="643" w:firstLineChars="200"/>
        <w:rPr>
          <w:rFonts w:ascii="仿宋_GB2312"/>
          <w:highlight w:val="none"/>
        </w:rPr>
      </w:pPr>
      <w:r>
        <w:rPr>
          <w:rFonts w:hint="eastAsia" w:ascii="仿宋_GB2312"/>
          <w:b/>
          <w:highlight w:val="none"/>
        </w:rPr>
        <w:t>第二条 申请</w:t>
      </w:r>
    </w:p>
    <w:p>
      <w:pPr>
        <w:ind w:firstLine="643" w:firstLineChars="200"/>
        <w:rPr>
          <w:rFonts w:hint="eastAsia" w:ascii="仿宋_GB2312"/>
          <w:b/>
          <w:highlight w:val="none"/>
        </w:rPr>
      </w:pPr>
      <w:r>
        <w:rPr>
          <w:rFonts w:hint="eastAsia" w:ascii="仿宋_GB2312"/>
          <w:b/>
          <w:highlight w:val="none"/>
        </w:rPr>
        <w:t>1.仅可办理人民币账单分期，每次申请的金额最低不低于人民币300元</w:t>
      </w:r>
      <w:r>
        <w:rPr>
          <w:rFonts w:hint="eastAsia" w:ascii="仿宋_GB2312"/>
          <w:b/>
          <w:highlight w:val="none"/>
          <w:lang w:eastAsia="zh-CN"/>
        </w:rPr>
        <w:t>（</w:t>
      </w:r>
      <w:r>
        <w:rPr>
          <w:rFonts w:hint="eastAsia" w:ascii="仿宋_GB2312"/>
          <w:b/>
          <w:highlight w:val="none"/>
          <w:lang w:val="en-US" w:eastAsia="zh-CN"/>
        </w:rPr>
        <w:t>含</w:t>
      </w:r>
      <w:r>
        <w:rPr>
          <w:rFonts w:hint="eastAsia" w:ascii="仿宋_GB2312"/>
          <w:b/>
          <w:highlight w:val="none"/>
          <w:lang w:eastAsia="zh-CN"/>
        </w:rPr>
        <w:t>）</w:t>
      </w:r>
      <w:r>
        <w:rPr>
          <w:rFonts w:hint="eastAsia" w:ascii="仿宋_GB2312"/>
          <w:b/>
          <w:highlight w:val="none"/>
        </w:rPr>
        <w:t>。</w:t>
      </w:r>
      <w:r>
        <w:rPr>
          <w:rFonts w:hint="eastAsia" w:ascii="仿宋_GB2312"/>
          <w:b/>
          <w:highlight w:val="none"/>
          <w:lang w:eastAsia="zh-CN"/>
        </w:rPr>
        <w:t>桂林银行</w:t>
      </w:r>
      <w:r>
        <w:rPr>
          <w:rFonts w:hint="eastAsia" w:ascii="仿宋_GB2312"/>
          <w:b/>
          <w:highlight w:val="none"/>
        </w:rPr>
        <w:t>漓江</w:t>
      </w:r>
      <w:r>
        <w:rPr>
          <w:rFonts w:hint="eastAsia" w:ascii="仿宋_GB2312"/>
          <w:b/>
          <w:highlight w:val="none"/>
          <w:lang w:val="en-US" w:eastAsia="zh-CN"/>
        </w:rPr>
        <w:t>系列</w:t>
      </w:r>
      <w:r>
        <w:rPr>
          <w:rFonts w:hint="eastAsia" w:ascii="仿宋_GB2312"/>
          <w:b/>
          <w:highlight w:val="none"/>
        </w:rPr>
        <w:t>信用卡</w:t>
      </w:r>
      <w:r>
        <w:rPr>
          <w:rFonts w:hint="eastAsia" w:ascii="仿宋_GB2312"/>
          <w:b/>
          <w:highlight w:val="none"/>
          <w:lang w:eastAsia="zh-CN"/>
        </w:rPr>
        <w:t>（</w:t>
      </w:r>
      <w:r>
        <w:rPr>
          <w:rFonts w:hint="eastAsia" w:ascii="仿宋_GB2312"/>
          <w:b/>
          <w:highlight w:val="none"/>
          <w:lang w:val="en-US" w:eastAsia="zh-CN"/>
        </w:rPr>
        <w:t>桂林银行漓江信用卡、桂林银行漓江公务卡、桂林银行铁旅随行信用卡、桂林银行乡村振兴信用卡、桂林银行福居信用卡等</w:t>
      </w:r>
      <w:r>
        <w:rPr>
          <w:rFonts w:hint="eastAsia" w:ascii="仿宋_GB2312"/>
          <w:b/>
          <w:highlight w:val="none"/>
          <w:lang w:eastAsia="zh-CN"/>
        </w:rPr>
        <w:t>）</w:t>
      </w:r>
      <w:r>
        <w:rPr>
          <w:rFonts w:hint="eastAsia" w:ascii="仿宋_GB2312"/>
          <w:b/>
          <w:color w:val="auto"/>
          <w:highlight w:val="none"/>
        </w:rPr>
        <w:t>申请账单分期的最高金额不超过当期还款额的95%，美团</w:t>
      </w:r>
      <w:r>
        <w:rPr>
          <w:rFonts w:hint="eastAsia" w:ascii="仿宋_GB2312"/>
          <w:b/>
          <w:color w:val="auto"/>
          <w:highlight w:val="none"/>
          <w:lang w:eastAsia="zh-CN"/>
        </w:rPr>
        <w:t>联名</w:t>
      </w:r>
      <w:r>
        <w:rPr>
          <w:rFonts w:hint="eastAsia" w:ascii="仿宋_GB2312"/>
          <w:b/>
          <w:color w:val="auto"/>
          <w:highlight w:val="none"/>
        </w:rPr>
        <w:t xml:space="preserve">信用卡申请账单分期的最高金额不超过当期还款额的90% </w:t>
      </w:r>
      <w:r>
        <w:rPr>
          <w:rFonts w:hint="eastAsia" w:ascii="仿宋_GB2312"/>
          <w:b/>
          <w:color w:val="auto"/>
          <w:highlight w:val="none"/>
          <w:lang w:eastAsia="zh-CN"/>
        </w:rPr>
        <w:t>。</w:t>
      </w:r>
      <w:r>
        <w:rPr>
          <w:rFonts w:hint="eastAsia" w:ascii="仿宋_GB2312"/>
          <w:b/>
          <w:highlight w:val="none"/>
        </w:rPr>
        <w:t xml:space="preserve"> </w:t>
      </w:r>
    </w:p>
    <w:p>
      <w:pPr>
        <w:ind w:firstLine="643" w:firstLineChars="200"/>
        <w:rPr>
          <w:rFonts w:ascii="仿宋_GB2312"/>
          <w:b/>
          <w:highlight w:val="none"/>
        </w:rPr>
      </w:pPr>
      <w:r>
        <w:rPr>
          <w:rFonts w:hint="eastAsia" w:ascii="仿宋_GB2312"/>
          <w:b/>
          <w:highlight w:val="none"/>
        </w:rPr>
        <w:t>2.不能申请本业务的交易包括但不限于：预借现金交易、分期付款交易、各项费用（如年费、利息、违约金及其他信用卡费用）、房地产交易、预授权交易以及本行规定的其它交易。</w:t>
      </w:r>
    </w:p>
    <w:p>
      <w:pPr>
        <w:ind w:firstLine="643" w:firstLineChars="200"/>
        <w:rPr>
          <w:rFonts w:ascii="仿宋_GB2312"/>
          <w:b/>
          <w:highlight w:val="none"/>
        </w:rPr>
      </w:pPr>
      <w:r>
        <w:rPr>
          <w:rFonts w:hint="eastAsia" w:ascii="仿宋_GB2312"/>
          <w:b/>
          <w:highlight w:val="none"/>
        </w:rPr>
        <w:t>3.持卡人申请本业务需经本行审核，是否审核通过以本行综合评定结果为准。</w:t>
      </w:r>
      <w:r>
        <w:rPr>
          <w:rFonts w:hint="eastAsia" w:ascii="仿宋_GB2312"/>
          <w:highlight w:val="none"/>
        </w:rPr>
        <w:t>持卡人可通过本行手机银行、网上银行等渠道查询已申请账单分期业务的详细情况。</w:t>
      </w:r>
    </w:p>
    <w:p>
      <w:pPr>
        <w:ind w:firstLine="643" w:firstLineChars="200"/>
        <w:rPr>
          <w:rFonts w:ascii="仿宋_GB2312"/>
          <w:highlight w:val="none"/>
        </w:rPr>
      </w:pPr>
      <w:r>
        <w:rPr>
          <w:rFonts w:hint="eastAsia" w:ascii="仿宋_GB2312"/>
          <w:b/>
          <w:highlight w:val="none"/>
        </w:rPr>
        <w:t>4.持卡人申请本业务的最高可分期金额，以申请渠道的实际展示结果为准。</w:t>
      </w:r>
    </w:p>
    <w:p>
      <w:pPr>
        <w:ind w:firstLine="643" w:firstLineChars="200"/>
        <w:rPr>
          <w:rFonts w:hint="eastAsia" w:ascii="仿宋_GB2312"/>
          <w:b/>
          <w:bCs/>
          <w:highlight w:val="none"/>
        </w:rPr>
      </w:pPr>
      <w:r>
        <w:rPr>
          <w:rFonts w:hint="eastAsia" w:ascii="仿宋_GB2312"/>
          <w:b/>
          <w:highlight w:val="none"/>
        </w:rPr>
        <w:t>5.持卡人申请本业务一经审核通过，则不能撤销，且不能对申请分期的金额和期数进行更改，</w:t>
      </w:r>
      <w:r>
        <w:rPr>
          <w:rStyle w:val="8"/>
          <w:rFonts w:hint="eastAsia" w:ascii="仿宋_GB2312" w:hAnsi="Times New Roman" w:eastAsia="仿宋_GB2312" w:cs="Times New Roman"/>
          <w:b/>
          <w:bCs/>
          <w:i w:val="0"/>
          <w:iCs w:val="0"/>
          <w:caps w:val="0"/>
          <w:color w:val="333333"/>
          <w:spacing w:val="0"/>
          <w:sz w:val="32"/>
          <w:szCs w:val="24"/>
          <w:highlight w:val="none"/>
          <w:shd w:val="clear" w:color="auto" w:fill="auto"/>
        </w:rPr>
        <w:t>持卡人</w:t>
      </w:r>
      <w:r>
        <w:rPr>
          <w:rStyle w:val="8"/>
          <w:rFonts w:hint="eastAsia" w:ascii="仿宋_GB2312" w:hAnsi="Times New Roman" w:cs="Times New Roman"/>
          <w:b/>
          <w:bCs/>
          <w:i w:val="0"/>
          <w:iCs w:val="0"/>
          <w:caps w:val="0"/>
          <w:color w:val="333333"/>
          <w:spacing w:val="0"/>
          <w:sz w:val="32"/>
          <w:szCs w:val="24"/>
          <w:highlight w:val="none"/>
          <w:shd w:val="clear" w:color="auto" w:fill="auto"/>
          <w:lang w:val="en-US" w:eastAsia="zh-CN"/>
        </w:rPr>
        <w:t>提前还款须</w:t>
      </w:r>
      <w:r>
        <w:rPr>
          <w:rStyle w:val="8"/>
          <w:rFonts w:hint="eastAsia" w:ascii="仿宋_GB2312" w:hAnsi="Times New Roman" w:eastAsia="仿宋_GB2312" w:cs="Times New Roman"/>
          <w:b/>
          <w:bCs/>
          <w:i w:val="0"/>
          <w:iCs w:val="0"/>
          <w:caps w:val="0"/>
          <w:color w:val="333333"/>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Style w:val="8"/>
          <w:rFonts w:hint="eastAsia" w:ascii="仿宋_GB2312" w:hAnsi="Times New Roman" w:cs="Times New Roman"/>
          <w:b/>
          <w:bCs/>
          <w:i w:val="0"/>
          <w:iCs w:val="0"/>
          <w:caps w:val="0"/>
          <w:color w:val="333333"/>
          <w:spacing w:val="0"/>
          <w:sz w:val="32"/>
          <w:szCs w:val="24"/>
          <w:highlight w:val="none"/>
          <w:shd w:val="clear" w:color="auto" w:fill="auto"/>
          <w:lang w:eastAsia="zh-CN"/>
        </w:rPr>
        <w:t>。</w:t>
      </w:r>
    </w:p>
    <w:p>
      <w:pPr>
        <w:ind w:firstLine="643" w:firstLineChars="200"/>
        <w:rPr>
          <w:rFonts w:ascii="仿宋_GB2312"/>
          <w:highlight w:val="none"/>
        </w:rPr>
      </w:pPr>
      <w:r>
        <w:rPr>
          <w:rFonts w:hint="eastAsia" w:ascii="仿宋_GB2312"/>
          <w:b/>
          <w:highlight w:val="none"/>
        </w:rPr>
        <w:t>第三条</w:t>
      </w:r>
      <w:r>
        <w:rPr>
          <w:rFonts w:ascii="仿宋_GB2312"/>
          <w:b/>
          <w:highlight w:val="none"/>
        </w:rPr>
        <w:t xml:space="preserve"> </w:t>
      </w:r>
      <w:r>
        <w:rPr>
          <w:rFonts w:hint="eastAsia" w:ascii="仿宋_GB2312"/>
          <w:b/>
          <w:highlight w:val="none"/>
        </w:rPr>
        <w:t>使用、收费及还款</w:t>
      </w:r>
    </w:p>
    <w:p>
      <w:pPr>
        <w:numPr>
          <w:ilvl w:val="0"/>
          <w:numId w:val="0"/>
        </w:numPr>
        <w:ind w:firstLine="643" w:firstLineChars="200"/>
      </w:pPr>
      <w:r>
        <w:rPr>
          <w:rFonts w:hint="eastAsia" w:ascii="仿宋_GB2312"/>
          <w:b/>
          <w:highlight w:val="none"/>
          <w:lang w:val="en-US" w:eastAsia="zh-CN"/>
        </w:rPr>
        <w:t>1.</w:t>
      </w:r>
      <w:r>
        <w:rPr>
          <w:rFonts w:hint="eastAsia" w:ascii="仿宋_GB2312"/>
          <w:b/>
          <w:highlight w:val="none"/>
        </w:rPr>
        <w:t>本行为持卡人个性化提供多种期数选择，实际分期期数及</w:t>
      </w:r>
      <w:r>
        <w:rPr>
          <w:rFonts w:hint="eastAsia" w:ascii="仿宋_GB2312"/>
          <w:b/>
          <w:highlight w:val="none"/>
          <w:lang w:eastAsia="zh-CN"/>
        </w:rPr>
        <w:t>利率</w:t>
      </w:r>
      <w:r>
        <w:rPr>
          <w:rFonts w:hint="eastAsia" w:ascii="仿宋_GB2312"/>
          <w:b/>
          <w:highlight w:val="none"/>
        </w:rPr>
        <w:t>以下单时本行系统测评结果为准，持卡人可通过申请界面获悉实时测评结果。</w:t>
      </w:r>
    </w:p>
    <w:tbl>
      <w:tblPr>
        <w:tblStyle w:val="6"/>
        <w:tblW w:w="8618"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777"/>
        <w:gridCol w:w="709"/>
        <w:gridCol w:w="1418"/>
        <w:gridCol w:w="1626"/>
        <w:gridCol w:w="1554"/>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ascii="仿宋_GB2312" w:hAnsi="宋体" w:eastAsia="仿宋_GB2312" w:cs="仿宋_GB2312"/>
                <w:b/>
                <w:bCs/>
                <w:i w:val="0"/>
                <w:iCs w:val="0"/>
                <w:color w:val="000000"/>
                <w:sz w:val="24"/>
                <w:szCs w:val="24"/>
                <w:u w:val="none"/>
              </w:rPr>
            </w:pPr>
            <w:r>
              <w:rPr>
                <w:rStyle w:val="9"/>
                <w:rFonts w:hAnsi="宋体"/>
                <w:b/>
                <w:bCs/>
                <w:sz w:val="24"/>
                <w:szCs w:val="24"/>
                <w:lang w:val="en-US" w:eastAsia="zh-CN" w:bidi="ar"/>
              </w:rPr>
              <w:t>卡种</w:t>
            </w:r>
          </w:p>
        </w:tc>
        <w:tc>
          <w:tcPr>
            <w:tcW w:w="7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分期产品</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p>
        </w:tc>
        <w:tc>
          <w:tcPr>
            <w:tcW w:w="30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分期收息</w:t>
            </w:r>
          </w:p>
        </w:tc>
        <w:tc>
          <w:tcPr>
            <w:tcW w:w="339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964" w:firstLineChars="400"/>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一次性收息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iCs w:val="0"/>
                <w:color w:val="000000"/>
                <w:sz w:val="24"/>
                <w:szCs w:val="24"/>
                <w:u w:val="none"/>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b/>
                <w:bCs/>
                <w:i w:val="0"/>
                <w:iCs w:val="0"/>
                <w:color w:val="000000"/>
                <w:sz w:val="24"/>
                <w:szCs w:val="24"/>
                <w:u w:val="none"/>
              </w:rPr>
            </w:pPr>
            <w:r>
              <w:rPr>
                <w:rStyle w:val="9"/>
                <w:rFonts w:hAnsi="宋体"/>
                <w:b/>
                <w:bCs/>
                <w:sz w:val="24"/>
                <w:szCs w:val="24"/>
                <w:lang w:val="en-US" w:eastAsia="zh-CN" w:bidi="ar"/>
              </w:rPr>
              <w:t>分期期数</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单期利率</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center"/>
              <w:textAlignment w:val="center"/>
              <w:rPr>
                <w:rStyle w:val="9"/>
                <w:b/>
                <w:bCs/>
                <w:lang w:bidi="ar"/>
              </w:rPr>
            </w:pPr>
            <w:r>
              <w:rPr>
                <w:rStyle w:val="9"/>
                <w:rFonts w:hAnsi="宋体"/>
                <w:b/>
                <w:bCs/>
                <w:sz w:val="24"/>
                <w:szCs w:val="24"/>
                <w:lang w:val="en-US" w:eastAsia="zh-CN" w:bidi="ar"/>
              </w:rPr>
              <w:t>近似折算年化利率</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center"/>
              <w:textAlignment w:val="center"/>
              <w:rPr>
                <w:rStyle w:val="9"/>
                <w:rFonts w:hAnsi="宋体"/>
                <w:b/>
                <w:bCs/>
                <w:sz w:val="24"/>
                <w:szCs w:val="24"/>
                <w:lang w:bidi="ar"/>
              </w:rPr>
            </w:pPr>
            <w:r>
              <w:rPr>
                <w:rStyle w:val="9"/>
                <w:rFonts w:hAnsi="宋体"/>
                <w:b/>
                <w:bCs/>
                <w:sz w:val="24"/>
                <w:szCs w:val="24"/>
                <w:lang w:bidi="ar"/>
              </w:rPr>
              <w:t>总利率</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center"/>
              <w:textAlignment w:val="center"/>
              <w:rPr>
                <w:rStyle w:val="9"/>
                <w:rFonts w:hAnsi="宋体"/>
                <w:b/>
                <w:bCs/>
                <w:sz w:val="24"/>
                <w:szCs w:val="24"/>
                <w:lang w:val="en-US" w:eastAsia="zh-CN" w:bidi="ar"/>
              </w:rPr>
            </w:pPr>
            <w:r>
              <w:rPr>
                <w:rStyle w:val="9"/>
                <w:rFonts w:hAnsi="宋体"/>
                <w:b/>
                <w:bCs/>
                <w:sz w:val="24"/>
                <w:szCs w:val="24"/>
                <w:lang w:val="en-US" w:eastAsia="zh-CN" w:bidi="ar"/>
              </w:rPr>
              <w:t>近似折算</w:t>
            </w:r>
          </w:p>
          <w:p>
            <w:pPr>
              <w:keepNext w:val="0"/>
              <w:keepLines w:val="0"/>
              <w:widowControl/>
              <w:suppressLineNumbers w:val="0"/>
              <w:ind w:firstLine="0" w:firstLineChars="0"/>
              <w:jc w:val="center"/>
              <w:textAlignment w:val="center"/>
              <w:rPr>
                <w:rStyle w:val="9"/>
                <w:b/>
                <w:bCs/>
                <w:lang w:bidi="ar"/>
              </w:rPr>
            </w:pPr>
            <w:r>
              <w:rPr>
                <w:rStyle w:val="9"/>
                <w:rFonts w:hAnsi="宋体"/>
                <w:b/>
                <w:bCs/>
                <w:sz w:val="24"/>
                <w:szCs w:val="24"/>
                <w:lang w:val="en-US" w:eastAsia="zh-CN" w:bidi="ar"/>
              </w:rPr>
              <w:t>年化利率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漓江系列信用卡</w:t>
            </w:r>
          </w:p>
        </w:tc>
        <w:tc>
          <w:tcPr>
            <w:tcW w:w="7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账单分期</w:t>
            </w: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[0%-0.75%]</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lang w:bidi="ar"/>
              </w:rPr>
            </w:pPr>
            <w:r>
              <w:rPr>
                <w:rStyle w:val="9"/>
                <w:rFonts w:hAnsi="宋体"/>
                <w:sz w:val="24"/>
                <w:szCs w:val="24"/>
                <w:lang w:val="en-US" w:eastAsia="zh-CN" w:bidi="ar"/>
              </w:rPr>
              <w:t>[0%-13.45%]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[0%-2.10%]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[0%-0.70%]</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[0%-14.26%]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[0%-3.78%]</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[0%-0.75%]</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[0%-15.92%]</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[0%-6.30%]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[0%-0.70%]</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[0%-15.16%]</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[0%-7.56%]</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[0%-0.65%]</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[0%-14.30%]</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[0%-10.62%]</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[0%-0.70%]</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[0%-15.38%]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[0%-15.12%]</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美团联名信用卡</w:t>
            </w:r>
          </w:p>
        </w:tc>
        <w:tc>
          <w:tcPr>
            <w:tcW w:w="777"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账单分期</w:t>
            </w: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[0%-0.94%]</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[0%-16.84%]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[0%-2.55%]</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[0%-0.83%]</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[0%-16.88%]</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[0%-4.50%]</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[0%-0.79%]</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[0%-16.75%]</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[0%-6.39%]</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[0%-0.77%]</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[0%-16.64%]</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rFonts w:hAnsi="宋体"/>
                <w:sz w:val="24"/>
                <w:szCs w:val="24"/>
                <w:lang w:bidi="ar"/>
              </w:rPr>
            </w:pPr>
            <w:r>
              <w:rPr>
                <w:rStyle w:val="9"/>
                <w:rFonts w:hAnsi="宋体"/>
                <w:sz w:val="24"/>
                <w:szCs w:val="24"/>
                <w:lang w:bidi="ar"/>
              </w:rPr>
              <w:t>[0%-8.28%]</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lang w:bidi="ar"/>
              </w:rPr>
            </w:pPr>
            <w:r>
              <w:rPr>
                <w:rStyle w:val="9"/>
              </w:rPr>
              <w:t>[0%-16.03%]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[0%-0.75%]</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[0%-16.42%]</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bidi="ar"/>
              </w:rPr>
              <w:t>[0%-12.24%]</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sz w:val="24"/>
                <w:szCs w:val="24"/>
              </w:rPr>
              <w:t>[0%-16.70%]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6"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77"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70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1418"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ind w:firstLine="0" w:firstLineChars="0"/>
              <w:jc w:val="both"/>
              <w:textAlignment w:val="center"/>
              <w:rPr>
                <w:rFonts w:hint="eastAsia" w:ascii="仿宋_GB2312" w:hAnsi="宋体" w:eastAsia="仿宋_GB2312" w:cs="仿宋_GB2312"/>
                <w:i w:val="0"/>
                <w:iCs w:val="0"/>
                <w:color w:val="000000"/>
                <w:sz w:val="24"/>
                <w:szCs w:val="24"/>
                <w:u w:val="none"/>
              </w:rPr>
            </w:pPr>
            <w:r>
              <w:rPr>
                <w:rStyle w:val="9"/>
                <w:rFonts w:hAnsi="宋体"/>
                <w:sz w:val="24"/>
                <w:szCs w:val="24"/>
                <w:lang w:val="en-US" w:eastAsia="zh-CN" w:bidi="ar"/>
              </w:rPr>
              <w:t>[0%-0.74%]</w:t>
            </w:r>
          </w:p>
        </w:tc>
        <w:tc>
          <w:tcPr>
            <w:tcW w:w="1626" w:type="dxa"/>
            <w:tcBorders>
              <w:top w:val="nil"/>
              <w:left w:val="single" w:color="000000" w:sz="8" w:space="0"/>
              <w:bottom w:val="single" w:color="000000" w:sz="8" w:space="0"/>
              <w:right w:val="nil"/>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rFonts w:hAnsi="宋体"/>
                <w:sz w:val="24"/>
                <w:szCs w:val="24"/>
                <w:lang w:val="en-US" w:eastAsia="zh-CN" w:bidi="ar"/>
              </w:rPr>
              <w:t>[0%-16.22%]</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sz w:val="24"/>
                <w:szCs w:val="24"/>
              </w:rPr>
              <w:t>[0%-16.08%]</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both"/>
              <w:textAlignment w:val="center"/>
              <w:rPr>
                <w:rStyle w:val="9"/>
                <w:sz w:val="24"/>
                <w:szCs w:val="24"/>
                <w:lang w:bidi="ar"/>
              </w:rPr>
            </w:pPr>
            <w:r>
              <w:rPr>
                <w:rStyle w:val="9"/>
                <w:sz w:val="24"/>
                <w:szCs w:val="24"/>
              </w:rPr>
              <w:t>[0%-17.17%]</w:t>
            </w:r>
          </w:p>
        </w:tc>
      </w:tr>
    </w:tbl>
    <w:p>
      <w:pPr>
        <w:ind w:firstLine="0" w:firstLineChars="0"/>
        <w:rPr>
          <w:rFonts w:ascii="仿宋_GB2312"/>
          <w:highlight w:val="none"/>
        </w:rPr>
      </w:pPr>
    </w:p>
    <w:p>
      <w:pPr>
        <w:widowControl w:val="0"/>
        <w:spacing w:line="586" w:lineRule="exact"/>
        <w:ind w:firstLine="640" w:firstLineChars="200"/>
        <w:rPr>
          <w:rFonts w:ascii="仿宋_GB2312"/>
          <w:highlight w:val="none"/>
        </w:rPr>
      </w:pPr>
      <w:r>
        <w:rPr>
          <w:rFonts w:ascii="仿宋_GB2312"/>
          <w:highlight w:val="none"/>
        </w:rPr>
        <w:t>2.</w:t>
      </w:r>
      <w:r>
        <w:rPr>
          <w:rFonts w:hint="eastAsia" w:ascii="Times New Roman" w:hAnsi="Times New Roman" w:eastAsia="仿宋_GB2312" w:cs="仿宋_GB2312"/>
          <w:bCs/>
          <w:spacing w:val="-11"/>
          <w:kern w:val="0"/>
          <w:sz w:val="32"/>
          <w:szCs w:val="32"/>
          <w:lang w:val="en-US" w:eastAsia="zh-CN" w:bidi="ar"/>
        </w:rPr>
        <w:t>采取分期收息方式的，每期分期还款额=核准的分期金额</w:t>
      </w:r>
      <w:r>
        <w:rPr>
          <w:rFonts w:hint="default" w:ascii="Times New Roman" w:hAnsi="Times New Roman" w:eastAsia="仿宋_GB2312" w:cs="time"/>
          <w:bCs/>
          <w:spacing w:val="-11"/>
          <w:kern w:val="0"/>
          <w:sz w:val="32"/>
          <w:szCs w:val="32"/>
          <w:lang w:val="en-US" w:eastAsia="zh-CN" w:bidi="ar"/>
        </w:rPr>
        <w:t>/</w:t>
      </w:r>
      <w:r>
        <w:rPr>
          <w:rFonts w:hint="eastAsia" w:ascii="Times New Roman" w:hAnsi="Times New Roman" w:eastAsia="仿宋_GB2312" w:cs="仿宋_GB2312"/>
          <w:bCs/>
          <w:spacing w:val="-11"/>
          <w:kern w:val="0"/>
          <w:sz w:val="32"/>
          <w:szCs w:val="32"/>
          <w:lang w:val="en-US" w:eastAsia="zh-CN" w:bidi="ar"/>
        </w:rPr>
        <w:t>分期期数+单期分期利息；</w:t>
      </w:r>
      <w:r>
        <w:rPr>
          <w:rFonts w:hint="eastAsia" w:ascii="Times New Roman" w:hAnsi="Times New Roman" w:eastAsia="仿宋_GB2312" w:cs="仿宋_GB2312"/>
          <w:bCs/>
          <w:kern w:val="0"/>
          <w:sz w:val="32"/>
          <w:szCs w:val="32"/>
          <w:lang w:val="en-US" w:eastAsia="zh-CN" w:bidi="ar"/>
        </w:rPr>
        <w:t>采</w:t>
      </w:r>
      <w:bookmarkStart w:id="0" w:name="_GoBack"/>
      <w:bookmarkEnd w:id="0"/>
      <w:r>
        <w:rPr>
          <w:rFonts w:hint="eastAsia" w:ascii="Times New Roman" w:hAnsi="Times New Roman" w:eastAsia="仿宋_GB2312" w:cs="仿宋_GB2312"/>
          <w:bCs/>
          <w:kern w:val="0"/>
          <w:sz w:val="32"/>
          <w:szCs w:val="32"/>
          <w:lang w:val="en-US" w:eastAsia="zh-CN" w:bidi="ar"/>
        </w:rPr>
        <w:t>取一次性收息方式的，首期分期还款金额=</w:t>
      </w:r>
      <w:r>
        <w:rPr>
          <w:rFonts w:hint="eastAsia" w:ascii="Times New Roman" w:hAnsi="Times New Roman" w:eastAsia="仿宋_GB2312" w:cs="仿宋_GB2312"/>
          <w:bCs/>
          <w:spacing w:val="-11"/>
          <w:kern w:val="0"/>
          <w:sz w:val="32"/>
          <w:szCs w:val="32"/>
          <w:lang w:val="en-US" w:eastAsia="zh-CN" w:bidi="ar"/>
        </w:rPr>
        <w:t>核准的分期金额</w:t>
      </w:r>
      <w:r>
        <w:rPr>
          <w:rFonts w:hint="default" w:ascii="Times New Roman" w:hAnsi="Times New Roman" w:eastAsia="仿宋_GB2312" w:cs="time"/>
          <w:bCs/>
          <w:spacing w:val="-11"/>
          <w:kern w:val="0"/>
          <w:sz w:val="32"/>
          <w:szCs w:val="32"/>
          <w:lang w:val="en-US" w:eastAsia="zh-CN" w:bidi="ar"/>
        </w:rPr>
        <w:t>/</w:t>
      </w:r>
      <w:r>
        <w:rPr>
          <w:rFonts w:hint="eastAsia" w:ascii="Times New Roman" w:hAnsi="Times New Roman" w:eastAsia="仿宋_GB2312" w:cs="仿宋_GB2312"/>
          <w:bCs/>
          <w:spacing w:val="-11"/>
          <w:kern w:val="0"/>
          <w:sz w:val="32"/>
          <w:szCs w:val="32"/>
          <w:lang w:val="en-US" w:eastAsia="zh-CN" w:bidi="ar"/>
        </w:rPr>
        <w:t>分期期数+分期总利息，其余期数分期还款金额=核准的分期金额</w:t>
      </w:r>
      <w:r>
        <w:rPr>
          <w:rFonts w:hint="default" w:ascii="Times New Roman" w:hAnsi="Times New Roman" w:eastAsia="仿宋_GB2312" w:cs="time"/>
          <w:bCs/>
          <w:spacing w:val="-11"/>
          <w:kern w:val="0"/>
          <w:sz w:val="32"/>
          <w:szCs w:val="32"/>
          <w:lang w:val="en-US" w:eastAsia="zh-CN" w:bidi="ar"/>
        </w:rPr>
        <w:t>/</w:t>
      </w:r>
      <w:r>
        <w:rPr>
          <w:rFonts w:hint="eastAsia" w:ascii="Times New Roman" w:hAnsi="Times New Roman" w:eastAsia="仿宋_GB2312" w:cs="仿宋_GB2312"/>
          <w:bCs/>
          <w:spacing w:val="-11"/>
          <w:kern w:val="0"/>
          <w:sz w:val="32"/>
          <w:szCs w:val="32"/>
          <w:lang w:val="en-US" w:eastAsia="zh-CN" w:bidi="ar"/>
        </w:rPr>
        <w:t>分期期数。</w:t>
      </w:r>
      <w:r>
        <w:rPr>
          <w:rFonts w:hint="eastAsia" w:ascii="仿宋_GB2312"/>
          <w:highlight w:val="none"/>
        </w:rPr>
        <w:t>每期应还分期还款额（精确到分）逐月计入持卡人信用卡人民币账户，如计算结果无法除尽,余数四舍五入于最后一期或中间期数。</w:t>
      </w:r>
    </w:p>
    <w:p>
      <w:pPr>
        <w:ind w:firstLine="640" w:firstLineChars="200"/>
        <w:rPr>
          <w:rFonts w:ascii="仿宋_GB2312"/>
          <w:highlight w:val="none"/>
        </w:rPr>
      </w:pPr>
      <w:r>
        <w:rPr>
          <w:rFonts w:ascii="仿宋_GB2312"/>
          <w:highlight w:val="none"/>
        </w:rPr>
        <w:t>3.</w:t>
      </w:r>
      <w:r>
        <w:rPr>
          <w:rFonts w:hint="eastAsia" w:ascii="仿宋_GB2312"/>
          <w:highlight w:val="none"/>
        </w:rPr>
        <w:t>持卡人申请本业务成功后，分期本金及</w:t>
      </w:r>
      <w:r>
        <w:rPr>
          <w:rFonts w:hint="eastAsia" w:ascii="仿宋_GB2312" w:eastAsia="仿宋_GB2312"/>
          <w:color w:val="auto"/>
          <w:sz w:val="32"/>
          <w:szCs w:val="32"/>
          <w:highlight w:val="none"/>
          <w:lang w:eastAsia="zh-CN"/>
        </w:rPr>
        <w:t>利息</w:t>
      </w:r>
      <w:r>
        <w:rPr>
          <w:rFonts w:hint="eastAsia" w:ascii="仿宋_GB2312"/>
          <w:highlight w:val="none"/>
        </w:rPr>
        <w:t>均计入持卡人信用卡人民币账户。</w:t>
      </w:r>
    </w:p>
    <w:p>
      <w:pPr>
        <w:ind w:firstLine="640" w:firstLineChars="200"/>
        <w:rPr>
          <w:rFonts w:ascii="仿宋_GB2312"/>
          <w:b/>
          <w:highlight w:val="none"/>
        </w:rPr>
      </w:pPr>
      <w:r>
        <w:rPr>
          <w:rFonts w:ascii="仿宋_GB2312"/>
          <w:highlight w:val="none"/>
        </w:rPr>
        <w:t>4.</w:t>
      </w:r>
      <w:r>
        <w:rPr>
          <w:rFonts w:hint="eastAsia" w:ascii="仿宋_GB2312"/>
          <w:highlight w:val="none"/>
        </w:rPr>
        <w:t>持卡人申请本业务成功后</w:t>
      </w:r>
      <w:r>
        <w:rPr>
          <w:rFonts w:hint="eastAsia" w:ascii="仿宋_GB2312"/>
          <w:b/>
          <w:highlight w:val="none"/>
        </w:rPr>
        <w:t>，申请金额将从分期后最近一期账单起列入账单，每期</w:t>
      </w:r>
      <w:r>
        <w:rPr>
          <w:rFonts w:hint="eastAsia" w:ascii="仿宋_GB2312"/>
          <w:b/>
          <w:highlight w:val="none"/>
          <w:lang w:eastAsia="zh-CN"/>
        </w:rPr>
        <w:t>利息</w:t>
      </w:r>
      <w:r>
        <w:rPr>
          <w:rFonts w:hint="eastAsia" w:ascii="仿宋_GB2312"/>
          <w:b/>
          <w:highlight w:val="none"/>
        </w:rPr>
        <w:t>与每期分期本金同时入账。</w:t>
      </w:r>
    </w:p>
    <w:p>
      <w:pPr>
        <w:ind w:firstLine="643" w:firstLineChars="200"/>
        <w:rPr>
          <w:rFonts w:ascii="仿宋_GB2312"/>
          <w:b/>
          <w:highlight w:val="none"/>
        </w:rPr>
      </w:pPr>
      <w:r>
        <w:rPr>
          <w:rFonts w:ascii="仿宋_GB2312"/>
          <w:b/>
          <w:highlight w:val="none"/>
        </w:rPr>
        <w:t>5.</w:t>
      </w:r>
      <w:r>
        <w:rPr>
          <w:rFonts w:hint="eastAsia" w:ascii="仿宋_GB2312"/>
          <w:b/>
          <w:highlight w:val="none"/>
        </w:rPr>
        <w:t>本业务每期应还分期还款额全额计入账单的最低还款额。如办理成功后持卡人未按时全部偿还当期剩余账单金额，将视为未全额还款，则当期账单欠款不享受免息还款期待遇。</w:t>
      </w:r>
    </w:p>
    <w:p>
      <w:pPr>
        <w:ind w:firstLine="643" w:firstLineChars="200"/>
        <w:rPr>
          <w:rFonts w:ascii="仿宋_GB2312"/>
          <w:highlight w:val="none"/>
        </w:rPr>
      </w:pPr>
      <w:r>
        <w:rPr>
          <w:rFonts w:ascii="仿宋_GB2312"/>
          <w:b/>
          <w:highlight w:val="none"/>
        </w:rPr>
        <w:t>6.</w:t>
      </w:r>
      <w:r>
        <w:rPr>
          <w:rFonts w:hint="eastAsia" w:ascii="仿宋_GB2312"/>
          <w:b/>
          <w:highlight w:val="none"/>
        </w:rPr>
        <w:t>持卡人申请本业务成功后，若按期偿还信用卡当期应还账款后仍有多余款项，该款项不会提前清偿下期应还分期还款额。</w:t>
      </w:r>
    </w:p>
    <w:p>
      <w:pPr>
        <w:ind w:firstLine="643" w:firstLineChars="200"/>
        <w:rPr>
          <w:rFonts w:ascii="仿宋_GB2312"/>
          <w:b/>
          <w:highlight w:val="none"/>
        </w:rPr>
      </w:pPr>
      <w:r>
        <w:rPr>
          <w:rFonts w:ascii="仿宋_GB2312"/>
          <w:b/>
          <w:highlight w:val="none"/>
        </w:rPr>
        <w:t>7.</w:t>
      </w:r>
      <w:r>
        <w:rPr>
          <w:rFonts w:hint="eastAsia" w:ascii="仿宋_GB2312"/>
          <w:b/>
          <w:highlight w:val="none"/>
        </w:rPr>
        <w:t>若持卡人需在还款期内整户注销信用卡，</w:t>
      </w:r>
      <w:r>
        <w:rPr>
          <w:rFonts w:hint="eastAsia" w:ascii="仿宋_GB2312"/>
          <w:b/>
          <w:bCs w:val="0"/>
          <w:highlight w:val="none"/>
          <w:lang w:val="en-US" w:eastAsia="zh-CN"/>
        </w:rPr>
        <w:t>则</w:t>
      </w:r>
      <w:r>
        <w:rPr>
          <w:rStyle w:val="8"/>
          <w:rFonts w:hint="eastAsia" w:ascii="仿宋_GB2312" w:hAnsi="Times New Roman" w:eastAsia="仿宋_GB2312" w:cs="Times New Roman"/>
          <w:b/>
          <w:bCs w:val="0"/>
          <w:i w:val="0"/>
          <w:iCs w:val="0"/>
          <w:caps w:val="0"/>
          <w:color w:val="333333"/>
          <w:spacing w:val="0"/>
          <w:sz w:val="32"/>
          <w:szCs w:val="24"/>
          <w:highlight w:val="none"/>
          <w:shd w:val="clear" w:color="auto" w:fill="auto"/>
        </w:rPr>
        <w:t>持卡人</w:t>
      </w:r>
      <w:r>
        <w:rPr>
          <w:rStyle w:val="8"/>
          <w:rFonts w:hint="eastAsia" w:ascii="仿宋_GB2312" w:hAnsi="Times New Roman" w:cs="Times New Roman"/>
          <w:b/>
          <w:bCs w:val="0"/>
          <w:i w:val="0"/>
          <w:iCs w:val="0"/>
          <w:caps w:val="0"/>
          <w:color w:val="333333"/>
          <w:spacing w:val="0"/>
          <w:sz w:val="32"/>
          <w:szCs w:val="24"/>
          <w:highlight w:val="none"/>
          <w:shd w:val="clear" w:color="auto" w:fill="auto"/>
          <w:lang w:val="en-US" w:eastAsia="zh-CN"/>
        </w:rPr>
        <w:t>须</w:t>
      </w:r>
      <w:r>
        <w:rPr>
          <w:rStyle w:val="8"/>
          <w:rFonts w:hint="eastAsia" w:ascii="仿宋_GB2312" w:hAnsi="Times New Roman" w:eastAsia="仿宋_GB2312" w:cs="Times New Roman"/>
          <w:b/>
          <w:bCs w:val="0"/>
          <w:i w:val="0"/>
          <w:iCs w:val="0"/>
          <w:caps w:val="0"/>
          <w:color w:val="333333"/>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Style w:val="8"/>
          <w:rFonts w:hint="eastAsia" w:ascii="仿宋_GB2312" w:hAnsi="Times New Roman" w:cs="Times New Roman"/>
          <w:b/>
          <w:bCs w:val="0"/>
          <w:i w:val="0"/>
          <w:iCs w:val="0"/>
          <w:caps w:val="0"/>
          <w:color w:val="333333"/>
          <w:spacing w:val="0"/>
          <w:sz w:val="32"/>
          <w:szCs w:val="24"/>
          <w:highlight w:val="none"/>
          <w:shd w:val="clear" w:color="auto" w:fill="auto"/>
          <w:lang w:eastAsia="zh-CN"/>
        </w:rPr>
        <w:t>。</w:t>
      </w:r>
    </w:p>
    <w:p>
      <w:pPr>
        <w:ind w:firstLine="643" w:firstLineChars="200"/>
        <w:rPr>
          <w:rFonts w:ascii="仿宋_GB2312"/>
          <w:b/>
          <w:highlight w:val="none"/>
        </w:rPr>
      </w:pPr>
      <w:r>
        <w:rPr>
          <w:rFonts w:hint="eastAsia" w:ascii="仿宋_GB2312"/>
          <w:b/>
          <w:highlight w:val="none"/>
          <w:lang w:val="en-US" w:eastAsia="zh-CN"/>
        </w:rPr>
        <w:t>8.</w:t>
      </w:r>
      <w:r>
        <w:rPr>
          <w:rFonts w:hint="eastAsia" w:ascii="仿宋_GB2312"/>
          <w:b/>
          <w:highlight w:val="none"/>
        </w:rPr>
        <w:t>若持卡人申请提前结清分期交易并经本行同意，</w:t>
      </w:r>
      <w:r>
        <w:rPr>
          <w:rFonts w:hint="eastAsia" w:ascii="仿宋_GB2312"/>
          <w:b/>
          <w:bCs w:val="0"/>
          <w:highlight w:val="none"/>
          <w:lang w:val="en-US" w:eastAsia="zh-CN"/>
        </w:rPr>
        <w:t>则</w:t>
      </w:r>
      <w:r>
        <w:rPr>
          <w:rFonts w:hint="eastAsia" w:ascii="仿宋_GB2312" w:hAnsi="Times New Roman" w:eastAsia="仿宋_GB2312" w:cs="Times New Roman"/>
          <w:b/>
          <w:bCs w:val="0"/>
          <w:i w:val="0"/>
          <w:iCs w:val="0"/>
          <w:caps w:val="0"/>
          <w:spacing w:val="0"/>
          <w:sz w:val="32"/>
          <w:szCs w:val="24"/>
          <w:highlight w:val="none"/>
          <w:shd w:val="clear" w:color="auto" w:fill="auto"/>
        </w:rPr>
        <w:t>持卡人</w:t>
      </w:r>
      <w:r>
        <w:rPr>
          <w:rFonts w:hint="eastAsia" w:ascii="仿宋_GB2312" w:hAnsi="Times New Roman" w:cs="Times New Roman"/>
          <w:b/>
          <w:bCs w:val="0"/>
          <w:i w:val="0"/>
          <w:iCs w:val="0"/>
          <w:caps w:val="0"/>
          <w:spacing w:val="0"/>
          <w:sz w:val="32"/>
          <w:szCs w:val="24"/>
          <w:highlight w:val="none"/>
          <w:shd w:val="clear" w:color="auto" w:fill="auto"/>
          <w:lang w:val="en-US" w:eastAsia="zh-CN"/>
        </w:rPr>
        <w:t>须</w:t>
      </w:r>
      <w:r>
        <w:rPr>
          <w:rFonts w:hint="eastAsia" w:ascii="仿宋_GB2312" w:hAnsi="Times New Roman" w:eastAsia="仿宋_GB2312" w:cs="Times New Roman"/>
          <w:b/>
          <w:bCs w:val="0"/>
          <w:i w:val="0"/>
          <w:iCs w:val="0"/>
          <w:caps w:val="0"/>
          <w:spacing w:val="0"/>
          <w:sz w:val="32"/>
          <w:szCs w:val="24"/>
          <w:highlight w:val="none"/>
          <w:shd w:val="clear" w:color="auto" w:fill="auto"/>
        </w:rPr>
        <w:t>一次性偿还全部剩余未分摊的分期本金；剩余未分摊的分期期数对应的利息无需支付，已一次性收取的利息退还剩余未分摊期数对应的利息</w:t>
      </w:r>
      <w:r>
        <w:rPr>
          <w:rFonts w:hint="eastAsia" w:ascii="仿宋_GB2312" w:hAnsi="Times New Roman" w:cs="Times New Roman"/>
          <w:b/>
          <w:bCs w:val="0"/>
          <w:i w:val="0"/>
          <w:iCs w:val="0"/>
          <w:caps w:val="0"/>
          <w:spacing w:val="0"/>
          <w:sz w:val="32"/>
          <w:szCs w:val="24"/>
          <w:highlight w:val="none"/>
          <w:shd w:val="clear" w:color="auto" w:fill="auto"/>
          <w:lang w:eastAsia="zh-CN"/>
        </w:rPr>
        <w:t>。</w:t>
      </w:r>
    </w:p>
    <w:p>
      <w:pPr>
        <w:ind w:firstLine="640" w:firstLineChars="200"/>
        <w:rPr>
          <w:rFonts w:ascii="仿宋_GB2312"/>
          <w:highlight w:val="none"/>
        </w:rPr>
      </w:pPr>
      <w:r>
        <w:rPr>
          <w:rFonts w:hint="eastAsia" w:ascii="仿宋_GB2312"/>
          <w:highlight w:val="none"/>
        </w:rPr>
        <w:t>9</w:t>
      </w:r>
      <w:r>
        <w:rPr>
          <w:rFonts w:ascii="仿宋_GB2312"/>
          <w:highlight w:val="none"/>
        </w:rPr>
        <w:t>.</w:t>
      </w:r>
      <w:r>
        <w:rPr>
          <w:rFonts w:hint="eastAsia" w:ascii="仿宋_GB2312"/>
          <w:highlight w:val="none"/>
        </w:rPr>
        <w:t>若持卡人对消费交易进行退货处理或还款，已办理成功的分期业务不受影响，将继续正常进行。</w:t>
      </w:r>
    </w:p>
    <w:p>
      <w:pPr>
        <w:ind w:firstLine="643" w:firstLineChars="200"/>
        <w:rPr>
          <w:rFonts w:ascii="仿宋_GB2312"/>
          <w:highlight w:val="none"/>
        </w:rPr>
      </w:pPr>
      <w:r>
        <w:rPr>
          <w:rFonts w:hint="eastAsia" w:ascii="仿宋_GB2312"/>
          <w:b/>
          <w:highlight w:val="none"/>
        </w:rPr>
        <w:t>第四条 违约责任</w:t>
      </w:r>
    </w:p>
    <w:p>
      <w:pPr>
        <w:ind w:firstLine="643" w:firstLineChars="200"/>
        <w:rPr>
          <w:rFonts w:ascii="仿宋_GB2312"/>
          <w:highlight w:val="none"/>
        </w:rPr>
      </w:pPr>
      <w:r>
        <w:rPr>
          <w:rFonts w:hint="eastAsia" w:ascii="仿宋_GB2312"/>
          <w:b/>
          <w:highlight w:val="none"/>
        </w:rPr>
        <w:t>本行因其认定的正当理由（包括但不限于：持卡人有任何舞弊、欺诈或非真实交易的情形；持卡人存在以积分套利为主要目的的行为；持卡人在积分累积或兑换中存在任何虚假交易、舞弊、欺诈或其他不诚信行为的；持卡人存在出卖银行卡等行为时；持卡人涉嫌洗钱、恐怖融资、扩散融资或涉及违反联合国等国际组织或者国家发布的可适用的制裁项目时；持卡人在本行开立的账户交易异常，且本行无法评估持卡人涉税、制裁等洗钱风险或经评估超过本行风险管理能力时；持卡人存在将信用卡用于房地产、投资理财、生产经营等非消费领域或涉嫌违反国家相关规定等情形时；持卡人存在非法或未经本行授权的渠道申请信用卡等行为时；信用卡由于被取消、管制、终止、已经过期并不被续期等原因变为不正常状态；持卡人未依约还款；持卡人资信状况经本行评估存在异常；持卡人已经破产或身故；持卡人违反了本行信用卡的领用合约、信用卡章程、本协议中的任何规定或本行的相关规定等）确定持卡人的账户不再适合进行本业务时，在通过包括但不限于短信、电子邮件、APP等通知方式告知持卡人后，本行有权选择终止本协议，并有权要求持卡人提前一次性清偿剩余全部分期金额及其他相应费用</w:t>
      </w:r>
      <w:r>
        <w:rPr>
          <w:rFonts w:hint="eastAsia" w:ascii="仿宋_GB2312"/>
          <w:b/>
          <w:highlight w:val="none"/>
          <w:lang w:eastAsia="zh-CN"/>
        </w:rPr>
        <w:t>，</w:t>
      </w:r>
      <w:r>
        <w:rPr>
          <w:rFonts w:hint="eastAsia" w:ascii="仿宋_GB2312"/>
          <w:b/>
          <w:highlight w:val="none"/>
        </w:rPr>
        <w:t>剩余</w:t>
      </w:r>
      <w:r>
        <w:rPr>
          <w:rFonts w:hint="eastAsia" w:ascii="仿宋_GB2312"/>
          <w:b/>
          <w:highlight w:val="none"/>
          <w:lang w:val="en-US" w:eastAsia="zh-CN"/>
        </w:rPr>
        <w:t>未摊销</w:t>
      </w:r>
      <w:r>
        <w:rPr>
          <w:rFonts w:hint="eastAsia" w:ascii="仿宋_GB2312"/>
          <w:b/>
          <w:highlight w:val="none"/>
          <w:lang w:eastAsia="zh-CN"/>
        </w:rPr>
        <w:t>利息</w:t>
      </w:r>
      <w:r>
        <w:rPr>
          <w:rFonts w:hint="eastAsia" w:ascii="仿宋_GB2312"/>
          <w:b/>
          <w:highlight w:val="none"/>
          <w:lang w:val="en-US" w:eastAsia="zh-CN"/>
        </w:rPr>
        <w:t>予以免收</w:t>
      </w:r>
      <w:r>
        <w:rPr>
          <w:rFonts w:hint="eastAsia" w:ascii="仿宋_GB2312"/>
          <w:b/>
          <w:highlight w:val="none"/>
        </w:rPr>
        <w:t>，已收取的分期</w:t>
      </w:r>
      <w:r>
        <w:rPr>
          <w:rFonts w:hint="eastAsia" w:ascii="仿宋_GB2312"/>
          <w:b/>
          <w:highlight w:val="none"/>
          <w:lang w:eastAsia="zh-CN"/>
        </w:rPr>
        <w:t>利息</w:t>
      </w:r>
      <w:r>
        <w:rPr>
          <w:rFonts w:hint="eastAsia" w:ascii="仿宋_GB2312"/>
          <w:b/>
          <w:highlight w:val="none"/>
        </w:rPr>
        <w:t>不予退还。</w:t>
      </w:r>
    </w:p>
    <w:p>
      <w:pPr>
        <w:ind w:firstLine="643" w:firstLineChars="200"/>
        <w:rPr>
          <w:rFonts w:ascii="仿宋_GB2312"/>
          <w:highlight w:val="none"/>
        </w:rPr>
      </w:pPr>
      <w:r>
        <w:rPr>
          <w:rFonts w:hint="eastAsia" w:ascii="仿宋_GB2312"/>
          <w:b/>
          <w:highlight w:val="none"/>
        </w:rPr>
        <w:t>第五条 其他</w:t>
      </w:r>
    </w:p>
    <w:p>
      <w:pPr>
        <w:ind w:firstLine="643" w:firstLineChars="200"/>
        <w:rPr>
          <w:rFonts w:ascii="仿宋_GB2312"/>
          <w:b/>
          <w:highlight w:val="none"/>
        </w:rPr>
      </w:pPr>
      <w:r>
        <w:rPr>
          <w:rFonts w:hint="eastAsia" w:ascii="仿宋_GB2312"/>
          <w:b/>
          <w:highlight w:val="none"/>
        </w:rPr>
        <w:t>1.持卡人声明已详尽阅读并完全知晓和承诺遵守本条款及细则。</w:t>
      </w:r>
    </w:p>
    <w:p>
      <w:pPr>
        <w:ind w:firstLine="0" w:firstLineChars="0"/>
        <w:rPr>
          <w:rFonts w:ascii="仿宋_GB2312"/>
          <w:highlight w:val="none"/>
        </w:rPr>
      </w:pPr>
    </w:p>
    <w:p>
      <w:pPr>
        <w:ind w:firstLine="640" w:firstLineChars="200"/>
        <w:rPr>
          <w:rFonts w:ascii="仿宋_GB2312"/>
          <w:highlight w:val="none"/>
        </w:rPr>
      </w:pPr>
      <w:r>
        <w:rPr>
          <w:rFonts w:hint="eastAsia" w:ascii="仿宋_GB2312"/>
          <w:highlight w:val="none"/>
        </w:rPr>
        <w:t>2.本协议未尽事项依据《桂林银行信用卡章程》及《桂林银行信用卡领用合约》、银行业务规定及金融惯例有关规定、相关法律法规处理。</w:t>
      </w:r>
    </w:p>
    <w:p>
      <w:pPr>
        <w:ind w:firstLine="0" w:firstLineChars="0"/>
        <w:rPr>
          <w:rFonts w:ascii="仿宋_GB2312"/>
          <w:highlight w:val="none"/>
        </w:rPr>
      </w:pPr>
    </w:p>
    <w:p>
      <w:pPr>
        <w:ind w:firstLine="643" w:firstLineChars="200"/>
        <w:rPr>
          <w:rFonts w:ascii="仿宋_GB2312"/>
          <w:b/>
          <w:highlight w:val="none"/>
        </w:rPr>
      </w:pPr>
      <w:r>
        <w:rPr>
          <w:rFonts w:ascii="仿宋_GB2312"/>
          <w:b/>
          <w:highlight w:val="none"/>
        </w:rPr>
        <w:t>3</w:t>
      </w:r>
      <w:r>
        <w:rPr>
          <w:rFonts w:hint="eastAsia" w:ascii="仿宋_GB2312"/>
          <w:b/>
          <w:highlight w:val="none"/>
        </w:rPr>
        <w:t>.本行有权对本协议或本业务服务内容进行修改，并提前45个自然日公告或通知持卡人修改事项。本行有权根据实际业务情况选择通知方式，具体可供选择的通知方式包括但不限于本行官方网站公告（http://www.guilinbank.com.cn/）、营业网点公告、对账单告知、电子邮件告知、短信通知、电话通知等。修改事项自公告或通知中载明的生效日期开始生效，持卡人有权在公告或通知期内选择是否同意该等修改。如持卡人不接受该等修改，持卡人应在公告或通知中载明的生效日期前终止使用本业务，并按照规定办理提前还款等手续。如持卡人未明示或主动采取行动表示不接受该等修改的，则视为持卡人同意该等变更，变更后的内容对持卡人具有法律约束力。持卡人既不执行公告或通知内容，又不申请终止或更换为本行其他服务的，本行有权选择终止本协议，并有权要求持卡人提前一次性清偿剩余全部分期金额及其他相应费用</w:t>
      </w:r>
      <w:r>
        <w:rPr>
          <w:rFonts w:hint="eastAsia" w:ascii="仿宋_GB2312"/>
          <w:b/>
          <w:highlight w:val="none"/>
          <w:lang w:eastAsia="zh-CN"/>
        </w:rPr>
        <w:t>，</w:t>
      </w:r>
      <w:r>
        <w:rPr>
          <w:rFonts w:hint="eastAsia" w:ascii="仿宋_GB2312"/>
          <w:b/>
          <w:highlight w:val="none"/>
        </w:rPr>
        <w:t>剩余</w:t>
      </w:r>
      <w:r>
        <w:rPr>
          <w:rFonts w:hint="eastAsia" w:ascii="仿宋_GB2312"/>
          <w:b/>
          <w:highlight w:val="none"/>
          <w:lang w:val="en-US" w:eastAsia="zh-CN"/>
        </w:rPr>
        <w:t>未摊销</w:t>
      </w:r>
      <w:r>
        <w:rPr>
          <w:rFonts w:hint="eastAsia" w:ascii="仿宋_GB2312"/>
          <w:b/>
          <w:highlight w:val="none"/>
          <w:lang w:eastAsia="zh-CN"/>
        </w:rPr>
        <w:t>利息</w:t>
      </w:r>
      <w:r>
        <w:rPr>
          <w:rFonts w:hint="eastAsia" w:ascii="仿宋_GB2312"/>
          <w:b/>
          <w:highlight w:val="none"/>
          <w:lang w:val="en-US" w:eastAsia="zh-CN"/>
        </w:rPr>
        <w:t>予以免收</w:t>
      </w:r>
      <w:r>
        <w:rPr>
          <w:rFonts w:hint="eastAsia" w:ascii="仿宋_GB2312"/>
          <w:b/>
          <w:highlight w:val="none"/>
        </w:rPr>
        <w:t>，已收取的分期</w:t>
      </w:r>
      <w:r>
        <w:rPr>
          <w:rFonts w:hint="eastAsia" w:ascii="仿宋_GB2312"/>
          <w:b/>
          <w:highlight w:val="none"/>
          <w:lang w:eastAsia="zh-CN"/>
        </w:rPr>
        <w:t>利息</w:t>
      </w:r>
      <w:r>
        <w:rPr>
          <w:rFonts w:hint="eastAsia" w:ascii="仿宋_GB2312"/>
          <w:b/>
          <w:highlight w:val="none"/>
        </w:rPr>
        <w:t>不予退还。</w:t>
      </w:r>
    </w:p>
    <w:p>
      <w:pPr>
        <w:ind w:firstLine="0" w:firstLineChars="0"/>
        <w:rPr>
          <w:rFonts w:ascii="仿宋_GB2312"/>
          <w:b/>
          <w:highlight w:val="none"/>
        </w:rPr>
      </w:pPr>
    </w:p>
    <w:p>
      <w:pPr>
        <w:numPr>
          <w:ilvl w:val="0"/>
          <w:numId w:val="0"/>
        </w:numPr>
        <w:tabs>
          <w:tab w:val="left" w:pos="312"/>
        </w:tabs>
        <w:ind w:firstLine="640" w:firstLineChars="200"/>
        <w:rPr>
          <w:rFonts w:ascii="仿宋_GB2312"/>
          <w:highlight w:val="none"/>
        </w:rPr>
      </w:pPr>
      <w:r>
        <w:rPr>
          <w:rFonts w:hint="eastAsia" w:ascii="仿宋_GB2312"/>
          <w:highlight w:val="none"/>
          <w:lang w:val="en-US" w:eastAsia="zh-CN"/>
        </w:rPr>
        <w:t>4.</w:t>
      </w:r>
      <w:r>
        <w:rPr>
          <w:rFonts w:hint="eastAsia" w:ascii="仿宋_GB2312"/>
          <w:highlight w:val="none"/>
        </w:rPr>
        <w:t>若有任何疑问，欢迎拨打桂林银行服务热线96299（广西）、400-86-96299（全国）。</w:t>
      </w:r>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OTk1NDQ1YWRiZGEwOWY0ZDU3ZmY3OTQwMDYwM2UifQ=="/>
  </w:docVars>
  <w:rsids>
    <w:rsidRoot w:val="4FCA7F01"/>
    <w:rsid w:val="3B892174"/>
    <w:rsid w:val="4FCA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imes New Roman"/>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2"/>
    <w:basedOn w:val="2"/>
    <w:qFormat/>
    <w:uiPriority w:val="0"/>
    <w:pPr>
      <w:ind w:firstLine="420"/>
    </w:pPr>
  </w:style>
  <w:style w:type="character" w:styleId="8">
    <w:name w:val="Strong"/>
    <w:basedOn w:val="7"/>
    <w:qFormat/>
    <w:uiPriority w:val="0"/>
    <w:rPr>
      <w:b/>
    </w:rPr>
  </w:style>
  <w:style w:type="character" w:customStyle="1" w:styleId="9">
    <w:name w:val="font11"/>
    <w:basedOn w:val="7"/>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2975</Words>
  <Characters>3517</Characters>
  <Lines>0</Lines>
  <Paragraphs>0</Paragraphs>
  <TotalTime>10</TotalTime>
  <ScaleCrop>false</ScaleCrop>
  <LinksUpToDate>false</LinksUpToDate>
  <CharactersWithSpaces>3524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2023-06-08T01:03:00Z</dcterms:created>
  <dc:creator>YONG</dc:creator>
  <cp:lastModifiedBy>YONG</cp:lastModifiedBy>
  <dcterms:modified xsi:type="dcterms:W3CDTF">2023-06-08T01:31:16Z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39147097B4A3436CB22889211756B416_11</vt:lpwstr>
  </property>
</Properties>
</file>