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B74B7B">
      <w:pPr>
        <w:pStyle w:val="28"/>
        <w:jc w:val="center"/>
        <w:rPr>
          <w:rFonts w:ascii="Times New Roman" w:hAnsi="Times New Roman" w:cs="Times New Roman"/>
          <w:b/>
          <w:bCs/>
          <w:spacing w:val="80"/>
          <w:sz w:val="32"/>
          <w:szCs w:val="32"/>
          <w:highlight w:val="none"/>
        </w:rPr>
      </w:pPr>
    </w:p>
    <w:p w14:paraId="598683F9">
      <w:pPr>
        <w:pStyle w:val="28"/>
        <w:jc w:val="center"/>
        <w:rPr>
          <w:rFonts w:ascii="Times New Roman" w:hAnsi="Times New Roman" w:cs="Times New Roman"/>
          <w:b/>
          <w:bCs/>
          <w:spacing w:val="80"/>
          <w:sz w:val="32"/>
          <w:szCs w:val="32"/>
          <w:highlight w:val="none"/>
        </w:rPr>
      </w:pPr>
    </w:p>
    <w:p w14:paraId="321D2BF7">
      <w:pPr>
        <w:pStyle w:val="28"/>
        <w:jc w:val="center"/>
        <w:rPr>
          <w:rFonts w:ascii="Times New Roman" w:hAnsi="Times New Roman" w:cs="Times New Roman"/>
          <w:b/>
          <w:bCs/>
          <w:spacing w:val="80"/>
          <w:sz w:val="32"/>
          <w:szCs w:val="32"/>
          <w:highlight w:val="none"/>
        </w:rPr>
      </w:pPr>
    </w:p>
    <w:p w14:paraId="0DC115C2">
      <w:pPr>
        <w:pStyle w:val="28"/>
        <w:jc w:val="center"/>
        <w:rPr>
          <w:rFonts w:ascii="Times New Roman" w:hAnsi="Times New Roman" w:cs="Times New Roman"/>
          <w:b/>
          <w:bCs/>
          <w:sz w:val="72"/>
          <w:szCs w:val="72"/>
          <w:highlight w:val="none"/>
        </w:rPr>
      </w:pPr>
      <w:r>
        <w:rPr>
          <w:rFonts w:ascii="Times New Roman" w:hAnsi="Times New Roman" w:eastAsia="小标宋" w:cs="Times New Roman"/>
          <w:sz w:val="72"/>
          <w:szCs w:val="72"/>
          <w:highlight w:val="none"/>
        </w:rPr>
        <w:t>磋商文件</w:t>
      </w:r>
    </w:p>
    <w:p w14:paraId="7DCDB3CA">
      <w:pPr>
        <w:pStyle w:val="28"/>
        <w:rPr>
          <w:rFonts w:ascii="Times New Roman" w:hAnsi="Times New Roman" w:cs="Times New Roman"/>
          <w:highlight w:val="none"/>
        </w:rPr>
      </w:pPr>
    </w:p>
    <w:p w14:paraId="0143B7E9">
      <w:pPr>
        <w:pStyle w:val="28"/>
        <w:ind w:firstLine="3885" w:firstLineChars="1850"/>
        <w:rPr>
          <w:rFonts w:ascii="Times New Roman" w:hAnsi="Times New Roman" w:cs="Times New Roman"/>
          <w:highlight w:val="none"/>
        </w:rPr>
      </w:pPr>
    </w:p>
    <w:p w14:paraId="085C5275">
      <w:pPr>
        <w:pStyle w:val="28"/>
        <w:rPr>
          <w:rFonts w:ascii="Times New Roman" w:hAnsi="Times New Roman" w:cs="Times New Roman"/>
          <w:highlight w:val="none"/>
        </w:rPr>
      </w:pPr>
    </w:p>
    <w:p w14:paraId="3FED480F">
      <w:pPr>
        <w:pStyle w:val="28"/>
        <w:rPr>
          <w:rFonts w:ascii="Times New Roman" w:hAnsi="Times New Roman" w:cs="Times New Roman"/>
          <w:highlight w:val="none"/>
        </w:rPr>
      </w:pPr>
    </w:p>
    <w:p w14:paraId="4A98FC59">
      <w:pPr>
        <w:pStyle w:val="28"/>
        <w:rPr>
          <w:rFonts w:ascii="Times New Roman" w:hAnsi="Times New Roman" w:cs="Times New Roman"/>
          <w:highlight w:val="none"/>
        </w:rPr>
      </w:pPr>
    </w:p>
    <w:p w14:paraId="47937833">
      <w:pPr>
        <w:pStyle w:val="28"/>
        <w:rPr>
          <w:rFonts w:ascii="Times New Roman" w:hAnsi="Times New Roman" w:cs="Times New Roman"/>
          <w:highlight w:val="none"/>
        </w:rPr>
      </w:pPr>
    </w:p>
    <w:p w14:paraId="1053E924">
      <w:pPr>
        <w:ind w:firstLine="218" w:firstLineChars="68"/>
        <w:rPr>
          <w:b/>
          <w:bCs/>
          <w:sz w:val="32"/>
          <w:szCs w:val="32"/>
          <w:highlight w:val="none"/>
        </w:rPr>
      </w:pPr>
      <w:r>
        <w:rPr>
          <w:b/>
          <w:bCs/>
          <w:sz w:val="32"/>
          <w:szCs w:val="32"/>
          <w:highlight w:val="none"/>
        </w:rPr>
        <w:t>项目名称：</w:t>
      </w:r>
      <w:r>
        <w:rPr>
          <w:rFonts w:hint="eastAsia"/>
          <w:b/>
          <w:bCs/>
          <w:sz w:val="32"/>
          <w:szCs w:val="32"/>
          <w:highlight w:val="none"/>
        </w:rPr>
        <w:t>桂林银行采购大模型AI智能体开发项目</w:t>
      </w:r>
    </w:p>
    <w:p w14:paraId="2756BFA2">
      <w:pPr>
        <w:ind w:firstLine="218" w:firstLineChars="68"/>
        <w:rPr>
          <w:rFonts w:hint="default" w:eastAsia="宋体"/>
          <w:b/>
          <w:bCs/>
          <w:sz w:val="32"/>
          <w:szCs w:val="32"/>
          <w:highlight w:val="none"/>
          <w:lang w:val="en-US" w:eastAsia="zh-CN"/>
        </w:rPr>
      </w:pPr>
      <w:r>
        <w:rPr>
          <w:b/>
          <w:bCs/>
          <w:sz w:val="32"/>
          <w:szCs w:val="32"/>
          <w:highlight w:val="none"/>
        </w:rPr>
        <w:t>项目编号：GYJC202</w:t>
      </w:r>
      <w:r>
        <w:rPr>
          <w:rFonts w:hint="eastAsia"/>
          <w:b/>
          <w:bCs/>
          <w:sz w:val="32"/>
          <w:szCs w:val="32"/>
          <w:highlight w:val="none"/>
        </w:rPr>
        <w:t>5</w:t>
      </w:r>
      <w:r>
        <w:rPr>
          <w:rFonts w:hint="eastAsia"/>
          <w:b/>
          <w:bCs/>
          <w:sz w:val="32"/>
          <w:szCs w:val="32"/>
          <w:highlight w:val="none"/>
          <w:lang w:val="en-US" w:eastAsia="zh-CN"/>
        </w:rPr>
        <w:t>114</w:t>
      </w:r>
    </w:p>
    <w:p w14:paraId="0C71E56C">
      <w:pPr>
        <w:pStyle w:val="55"/>
        <w:spacing w:line="240" w:lineRule="auto"/>
        <w:rPr>
          <w:highlight w:val="none"/>
        </w:rPr>
      </w:pPr>
      <w:r>
        <w:rPr>
          <w:b/>
          <w:bCs/>
          <w:sz w:val="32"/>
          <w:szCs w:val="32"/>
          <w:highlight w:val="none"/>
        </w:rPr>
        <w:t xml:space="preserve"> 采 购 人：桂林银行股份有限公司</w:t>
      </w:r>
    </w:p>
    <w:p w14:paraId="7C915D9A">
      <w:pPr>
        <w:ind w:firstLine="157" w:firstLineChars="49"/>
        <w:rPr>
          <w:highlight w:val="none"/>
        </w:rPr>
      </w:pPr>
      <w:r>
        <w:rPr>
          <w:b/>
          <w:bCs/>
          <w:sz w:val="32"/>
          <w:szCs w:val="32"/>
          <w:highlight w:val="none"/>
        </w:rPr>
        <w:t xml:space="preserve">   </w:t>
      </w:r>
    </w:p>
    <w:p w14:paraId="3DF94978">
      <w:pPr>
        <w:ind w:left="-2" w:leftChars="-1" w:firstLine="840" w:firstLineChars="400"/>
        <w:rPr>
          <w:highlight w:val="none"/>
        </w:rPr>
      </w:pPr>
    </w:p>
    <w:p w14:paraId="438D8657">
      <w:pPr>
        <w:ind w:left="-2" w:leftChars="-1" w:firstLine="840" w:firstLineChars="400"/>
        <w:rPr>
          <w:highlight w:val="none"/>
        </w:rPr>
      </w:pPr>
    </w:p>
    <w:p w14:paraId="196E7BF2">
      <w:pPr>
        <w:ind w:left="-2" w:leftChars="-1" w:firstLine="840" w:firstLineChars="400"/>
        <w:rPr>
          <w:highlight w:val="none"/>
        </w:rPr>
      </w:pPr>
    </w:p>
    <w:p w14:paraId="57175ED2">
      <w:pPr>
        <w:ind w:left="-2" w:leftChars="-1" w:firstLine="840" w:firstLineChars="400"/>
        <w:rPr>
          <w:highlight w:val="none"/>
        </w:rPr>
      </w:pPr>
    </w:p>
    <w:p w14:paraId="6F0FA589">
      <w:pPr>
        <w:rPr>
          <w:highlight w:val="none"/>
        </w:rPr>
      </w:pPr>
    </w:p>
    <w:p w14:paraId="55C2B162">
      <w:pPr>
        <w:ind w:left="-2" w:leftChars="-1" w:firstLine="840" w:firstLineChars="400"/>
        <w:rPr>
          <w:highlight w:val="none"/>
        </w:rPr>
      </w:pPr>
    </w:p>
    <w:p w14:paraId="26595F5D">
      <w:pPr>
        <w:pStyle w:val="4"/>
        <w:rPr>
          <w:highlight w:val="none"/>
        </w:rPr>
      </w:pPr>
    </w:p>
    <w:p w14:paraId="11E2F811">
      <w:pPr>
        <w:rPr>
          <w:highlight w:val="none"/>
        </w:rPr>
      </w:pPr>
    </w:p>
    <w:p w14:paraId="30632A5D">
      <w:pPr>
        <w:pStyle w:val="4"/>
        <w:rPr>
          <w:highlight w:val="none"/>
        </w:rPr>
      </w:pPr>
    </w:p>
    <w:p w14:paraId="17FEB76A">
      <w:pPr>
        <w:rPr>
          <w:highlight w:val="none"/>
        </w:rPr>
      </w:pPr>
    </w:p>
    <w:p w14:paraId="3C48BB00">
      <w:pPr>
        <w:ind w:left="-2" w:leftChars="-1" w:firstLine="840" w:firstLineChars="400"/>
        <w:rPr>
          <w:highlight w:val="none"/>
        </w:rPr>
      </w:pPr>
    </w:p>
    <w:p w14:paraId="564DFC9F">
      <w:pPr>
        <w:rPr>
          <w:highlight w:val="none"/>
        </w:rPr>
      </w:pPr>
    </w:p>
    <w:p w14:paraId="0510E465">
      <w:pPr>
        <w:tabs>
          <w:tab w:val="left" w:pos="1260"/>
        </w:tabs>
        <w:ind w:left="-2" w:leftChars="-1" w:firstLine="630" w:firstLineChars="300"/>
        <w:rPr>
          <w:highlight w:val="none"/>
        </w:rPr>
      </w:pPr>
    </w:p>
    <w:p w14:paraId="1CEE32B6">
      <w:pPr>
        <w:ind w:left="103" w:leftChars="49" w:firstLine="3762" w:firstLineChars="1171"/>
        <w:rPr>
          <w:sz w:val="32"/>
          <w:szCs w:val="32"/>
          <w:highlight w:val="none"/>
        </w:rPr>
      </w:pPr>
      <w:r>
        <w:rPr>
          <w:b/>
          <w:bCs/>
          <w:sz w:val="32"/>
          <w:szCs w:val="32"/>
          <w:highlight w:val="none"/>
        </w:rPr>
        <w:t>202</w:t>
      </w:r>
      <w:r>
        <w:rPr>
          <w:rFonts w:hint="eastAsia"/>
          <w:b/>
          <w:bCs/>
          <w:sz w:val="32"/>
          <w:szCs w:val="32"/>
          <w:highlight w:val="none"/>
        </w:rPr>
        <w:t>5</w:t>
      </w:r>
      <w:r>
        <w:rPr>
          <w:b/>
          <w:bCs/>
          <w:sz w:val="32"/>
          <w:szCs w:val="32"/>
          <w:highlight w:val="none"/>
        </w:rPr>
        <w:t>年</w:t>
      </w:r>
      <w:r>
        <w:rPr>
          <w:rFonts w:hint="eastAsia"/>
          <w:b/>
          <w:bCs/>
          <w:sz w:val="32"/>
          <w:szCs w:val="32"/>
          <w:highlight w:val="none"/>
        </w:rPr>
        <w:t>1</w:t>
      </w:r>
      <w:r>
        <w:rPr>
          <w:rFonts w:hint="eastAsia"/>
          <w:b/>
          <w:bCs/>
          <w:sz w:val="32"/>
          <w:szCs w:val="32"/>
          <w:highlight w:val="none"/>
          <w:lang w:val="en-US" w:eastAsia="zh-CN"/>
        </w:rPr>
        <w:t>1</w:t>
      </w:r>
      <w:r>
        <w:rPr>
          <w:b/>
          <w:bCs/>
          <w:sz w:val="32"/>
          <w:szCs w:val="32"/>
          <w:highlight w:val="none"/>
        </w:rPr>
        <w:t>月</w:t>
      </w:r>
    </w:p>
    <w:p w14:paraId="564DD236">
      <w:pPr>
        <w:spacing w:line="440" w:lineRule="exact"/>
        <w:jc w:val="center"/>
        <w:rPr>
          <w:sz w:val="44"/>
          <w:szCs w:val="44"/>
          <w:highlight w:val="none"/>
        </w:rPr>
        <w:sectPr>
          <w:footerReference r:id="rId3" w:type="default"/>
          <w:pgSz w:w="11905" w:h="16838"/>
          <w:pgMar w:top="1417" w:right="1304" w:bottom="1417" w:left="1304" w:header="850" w:footer="992" w:gutter="0"/>
          <w:cols w:space="0" w:num="1"/>
          <w:docGrid w:type="lines" w:linePitch="312" w:charSpace="0"/>
        </w:sectPr>
      </w:pPr>
    </w:p>
    <w:p w14:paraId="5A579E10">
      <w:pPr>
        <w:pStyle w:val="55"/>
        <w:rPr>
          <w:highlight w:val="none"/>
        </w:rPr>
      </w:pPr>
    </w:p>
    <w:p w14:paraId="5D279BC6">
      <w:pPr>
        <w:spacing w:line="440" w:lineRule="exact"/>
        <w:jc w:val="center"/>
        <w:rPr>
          <w:sz w:val="44"/>
          <w:szCs w:val="44"/>
          <w:highlight w:val="none"/>
        </w:rPr>
      </w:pPr>
      <w:r>
        <w:rPr>
          <w:sz w:val="44"/>
          <w:szCs w:val="44"/>
          <w:highlight w:val="none"/>
        </w:rPr>
        <w:t>目录</w:t>
      </w:r>
    </w:p>
    <w:p w14:paraId="77EA21E7">
      <w:pPr>
        <w:rPr>
          <w:sz w:val="28"/>
          <w:szCs w:val="28"/>
          <w:highlight w:val="none"/>
        </w:rPr>
      </w:pPr>
    </w:p>
    <w:p w14:paraId="2CFC770B">
      <w:pPr>
        <w:pStyle w:val="34"/>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TOC \o "1-1" \h \u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_Toc13258 </w:instrText>
      </w:r>
      <w:r>
        <w:rPr>
          <w:rFonts w:hint="eastAsia" w:asciiTheme="minorEastAsia" w:hAnsiTheme="minorEastAsia" w:eastAsiaTheme="minorEastAsia" w:cstheme="minorEastAsia"/>
          <w:sz w:val="28"/>
          <w:szCs w:val="28"/>
          <w:highlight w:val="none"/>
        </w:rPr>
        <w:fldChar w:fldCharType="separate"/>
      </w:r>
      <w:r>
        <w:rPr>
          <w:rFonts w:hint="eastAsia"/>
          <w:kern w:val="0"/>
          <w:sz w:val="28"/>
          <w:szCs w:val="28"/>
          <w:highlight w:val="none"/>
        </w:rPr>
        <w:t xml:space="preserve">第一章  </w:t>
      </w:r>
      <w:r>
        <w:rPr>
          <w:kern w:val="0"/>
          <w:sz w:val="28"/>
          <w:szCs w:val="28"/>
          <w:highlight w:val="none"/>
        </w:rPr>
        <w:t>竞争性磋商</w:t>
      </w:r>
      <w:r>
        <w:rPr>
          <w:rFonts w:hint="eastAsia"/>
          <w:kern w:val="0"/>
          <w:sz w:val="28"/>
          <w:szCs w:val="28"/>
          <w:highlight w:val="none"/>
        </w:rPr>
        <w:t>公告</w:t>
      </w:r>
      <w:r>
        <w:rPr>
          <w:sz w:val="28"/>
          <w:szCs w:val="28"/>
          <w:highlight w:val="none"/>
        </w:rPr>
        <w:tab/>
      </w:r>
      <w:r>
        <w:rPr>
          <w:sz w:val="28"/>
          <w:szCs w:val="28"/>
          <w:highlight w:val="none"/>
        </w:rPr>
        <w:fldChar w:fldCharType="begin"/>
      </w:r>
      <w:r>
        <w:rPr>
          <w:sz w:val="28"/>
          <w:szCs w:val="28"/>
          <w:highlight w:val="none"/>
        </w:rPr>
        <w:instrText xml:space="preserve"> PAGEREF _Toc13258 \h </w:instrText>
      </w:r>
      <w:r>
        <w:rPr>
          <w:sz w:val="28"/>
          <w:szCs w:val="28"/>
          <w:highlight w:val="none"/>
        </w:rPr>
        <w:fldChar w:fldCharType="separate"/>
      </w:r>
      <w:r>
        <w:rPr>
          <w:sz w:val="28"/>
          <w:szCs w:val="28"/>
          <w:highlight w:val="none"/>
        </w:rPr>
        <w:t>3</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01FCC2C7">
      <w:pPr>
        <w:pStyle w:val="34"/>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_Toc31110 </w:instrText>
      </w:r>
      <w:r>
        <w:rPr>
          <w:rFonts w:hint="eastAsia" w:asciiTheme="minorEastAsia" w:hAnsiTheme="minorEastAsia" w:eastAsiaTheme="minorEastAsia" w:cstheme="minorEastAsia"/>
          <w:sz w:val="28"/>
          <w:szCs w:val="28"/>
          <w:highlight w:val="none"/>
        </w:rPr>
        <w:fldChar w:fldCharType="separate"/>
      </w:r>
      <w:r>
        <w:rPr>
          <w:rFonts w:ascii="Times New Roman" w:hAnsi="Times New Roman"/>
          <w:sz w:val="28"/>
          <w:szCs w:val="28"/>
          <w:highlight w:val="none"/>
        </w:rPr>
        <w:t>第二章  投标人须知</w:t>
      </w:r>
      <w:r>
        <w:rPr>
          <w:sz w:val="28"/>
          <w:szCs w:val="28"/>
          <w:highlight w:val="none"/>
        </w:rPr>
        <w:tab/>
      </w:r>
      <w:r>
        <w:rPr>
          <w:sz w:val="28"/>
          <w:szCs w:val="28"/>
          <w:highlight w:val="none"/>
        </w:rPr>
        <w:fldChar w:fldCharType="begin"/>
      </w:r>
      <w:r>
        <w:rPr>
          <w:sz w:val="28"/>
          <w:szCs w:val="28"/>
          <w:highlight w:val="none"/>
        </w:rPr>
        <w:instrText xml:space="preserve"> PAGEREF _Toc31110 \h </w:instrText>
      </w:r>
      <w:r>
        <w:rPr>
          <w:sz w:val="28"/>
          <w:szCs w:val="28"/>
          <w:highlight w:val="none"/>
        </w:rPr>
        <w:fldChar w:fldCharType="separate"/>
      </w:r>
      <w:r>
        <w:rPr>
          <w:sz w:val="28"/>
          <w:szCs w:val="28"/>
          <w:highlight w:val="none"/>
        </w:rPr>
        <w:t>6</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1AADA1A3">
      <w:pPr>
        <w:pStyle w:val="34"/>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_Toc28969 </w:instrText>
      </w:r>
      <w:r>
        <w:rPr>
          <w:rFonts w:hint="eastAsia" w:asciiTheme="minorEastAsia" w:hAnsiTheme="minorEastAsia" w:eastAsiaTheme="minorEastAsia" w:cstheme="minorEastAsia"/>
          <w:sz w:val="28"/>
          <w:szCs w:val="28"/>
          <w:highlight w:val="none"/>
        </w:rPr>
        <w:fldChar w:fldCharType="separate"/>
      </w:r>
      <w:r>
        <w:rPr>
          <w:rFonts w:hint="eastAsia"/>
          <w:sz w:val="28"/>
          <w:szCs w:val="28"/>
          <w:highlight w:val="none"/>
        </w:rPr>
        <w:t>第三章　项目需求</w:t>
      </w:r>
      <w:r>
        <w:rPr>
          <w:sz w:val="28"/>
          <w:szCs w:val="28"/>
          <w:highlight w:val="none"/>
        </w:rPr>
        <w:tab/>
      </w:r>
      <w:r>
        <w:rPr>
          <w:sz w:val="28"/>
          <w:szCs w:val="28"/>
          <w:highlight w:val="none"/>
        </w:rPr>
        <w:fldChar w:fldCharType="begin"/>
      </w:r>
      <w:r>
        <w:rPr>
          <w:sz w:val="28"/>
          <w:szCs w:val="28"/>
          <w:highlight w:val="none"/>
        </w:rPr>
        <w:instrText xml:space="preserve"> PAGEREF _Toc28969 \h </w:instrText>
      </w:r>
      <w:r>
        <w:rPr>
          <w:sz w:val="28"/>
          <w:szCs w:val="28"/>
          <w:highlight w:val="none"/>
        </w:rPr>
        <w:fldChar w:fldCharType="separate"/>
      </w:r>
      <w:r>
        <w:rPr>
          <w:sz w:val="28"/>
          <w:szCs w:val="28"/>
          <w:highlight w:val="none"/>
        </w:rPr>
        <w:t>12</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30A9D48E">
      <w:pPr>
        <w:pStyle w:val="34"/>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_Toc9328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第四章  评审方法和评分标准</w:t>
      </w:r>
      <w:r>
        <w:rPr>
          <w:sz w:val="28"/>
          <w:szCs w:val="28"/>
          <w:highlight w:val="none"/>
        </w:rPr>
        <w:tab/>
      </w:r>
      <w:r>
        <w:rPr>
          <w:sz w:val="28"/>
          <w:szCs w:val="28"/>
          <w:highlight w:val="none"/>
        </w:rPr>
        <w:fldChar w:fldCharType="begin"/>
      </w:r>
      <w:r>
        <w:rPr>
          <w:sz w:val="28"/>
          <w:szCs w:val="28"/>
          <w:highlight w:val="none"/>
        </w:rPr>
        <w:instrText xml:space="preserve"> PAGEREF _Toc9328 \h </w:instrText>
      </w:r>
      <w:r>
        <w:rPr>
          <w:sz w:val="28"/>
          <w:szCs w:val="28"/>
          <w:highlight w:val="none"/>
        </w:rPr>
        <w:fldChar w:fldCharType="separate"/>
      </w:r>
      <w:r>
        <w:rPr>
          <w:sz w:val="28"/>
          <w:szCs w:val="28"/>
          <w:highlight w:val="none"/>
        </w:rPr>
        <w:t>22</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0630F097">
      <w:pPr>
        <w:pStyle w:val="34"/>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_Toc7676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第五章  合同主要条款格式</w:t>
      </w:r>
      <w:r>
        <w:rPr>
          <w:sz w:val="28"/>
          <w:szCs w:val="28"/>
          <w:highlight w:val="none"/>
        </w:rPr>
        <w:tab/>
      </w:r>
      <w:r>
        <w:rPr>
          <w:sz w:val="28"/>
          <w:szCs w:val="28"/>
          <w:highlight w:val="none"/>
        </w:rPr>
        <w:fldChar w:fldCharType="begin"/>
      </w:r>
      <w:r>
        <w:rPr>
          <w:sz w:val="28"/>
          <w:szCs w:val="28"/>
          <w:highlight w:val="none"/>
        </w:rPr>
        <w:instrText xml:space="preserve"> PAGEREF _Toc7676 \h </w:instrText>
      </w:r>
      <w:r>
        <w:rPr>
          <w:sz w:val="28"/>
          <w:szCs w:val="28"/>
          <w:highlight w:val="none"/>
        </w:rPr>
        <w:fldChar w:fldCharType="separate"/>
      </w:r>
      <w:r>
        <w:rPr>
          <w:sz w:val="28"/>
          <w:szCs w:val="28"/>
          <w:highlight w:val="none"/>
        </w:rPr>
        <w:t>27</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2120613E">
      <w:pPr>
        <w:pStyle w:val="34"/>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_Toc4453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第六章  响应文件格式</w:t>
      </w:r>
      <w:bookmarkStart w:id="277" w:name="_GoBack"/>
      <w:bookmarkEnd w:id="277"/>
      <w:r>
        <w:rPr>
          <w:sz w:val="28"/>
          <w:szCs w:val="28"/>
          <w:highlight w:val="none"/>
        </w:rPr>
        <w:tab/>
      </w:r>
      <w:r>
        <w:rPr>
          <w:sz w:val="28"/>
          <w:szCs w:val="28"/>
          <w:highlight w:val="none"/>
        </w:rPr>
        <w:fldChar w:fldCharType="begin"/>
      </w:r>
      <w:r>
        <w:rPr>
          <w:sz w:val="28"/>
          <w:szCs w:val="28"/>
          <w:highlight w:val="none"/>
        </w:rPr>
        <w:instrText xml:space="preserve"> PAGEREF _Toc4453 \h </w:instrText>
      </w:r>
      <w:r>
        <w:rPr>
          <w:sz w:val="28"/>
          <w:szCs w:val="28"/>
          <w:highlight w:val="none"/>
        </w:rPr>
        <w:fldChar w:fldCharType="separate"/>
      </w:r>
      <w:r>
        <w:rPr>
          <w:sz w:val="28"/>
          <w:szCs w:val="28"/>
          <w:highlight w:val="none"/>
        </w:rPr>
        <w:t>28</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124E3A16">
      <w:pPr>
        <w:jc w:val="center"/>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fldChar w:fldCharType="end"/>
      </w:r>
    </w:p>
    <w:p w14:paraId="11C7B3C7">
      <w:pPr>
        <w:spacing w:line="440" w:lineRule="exact"/>
        <w:jc w:val="center"/>
        <w:rPr>
          <w:sz w:val="28"/>
          <w:szCs w:val="28"/>
          <w:highlight w:val="none"/>
        </w:rPr>
      </w:pPr>
    </w:p>
    <w:p w14:paraId="12FEC709">
      <w:pPr>
        <w:spacing w:line="440" w:lineRule="exact"/>
        <w:jc w:val="center"/>
        <w:rPr>
          <w:sz w:val="44"/>
          <w:szCs w:val="44"/>
          <w:highlight w:val="none"/>
        </w:rPr>
      </w:pPr>
    </w:p>
    <w:p w14:paraId="5E340F3F">
      <w:pPr>
        <w:tabs>
          <w:tab w:val="left" w:pos="2604"/>
        </w:tabs>
        <w:spacing w:line="440" w:lineRule="exact"/>
        <w:jc w:val="left"/>
        <w:rPr>
          <w:sz w:val="44"/>
          <w:szCs w:val="44"/>
          <w:highlight w:val="none"/>
        </w:rPr>
      </w:pPr>
      <w:r>
        <w:rPr>
          <w:rFonts w:hint="eastAsia"/>
          <w:sz w:val="44"/>
          <w:szCs w:val="44"/>
          <w:highlight w:val="none"/>
        </w:rPr>
        <w:tab/>
      </w:r>
    </w:p>
    <w:p w14:paraId="579C9A98">
      <w:pPr>
        <w:spacing w:line="440" w:lineRule="exact"/>
        <w:jc w:val="center"/>
        <w:rPr>
          <w:sz w:val="44"/>
          <w:szCs w:val="44"/>
          <w:highlight w:val="none"/>
        </w:rPr>
      </w:pPr>
    </w:p>
    <w:p w14:paraId="611622AA">
      <w:pPr>
        <w:spacing w:line="440" w:lineRule="exact"/>
        <w:jc w:val="center"/>
        <w:rPr>
          <w:sz w:val="44"/>
          <w:szCs w:val="44"/>
          <w:highlight w:val="none"/>
        </w:rPr>
      </w:pPr>
    </w:p>
    <w:p w14:paraId="157D3D07">
      <w:pPr>
        <w:spacing w:line="440" w:lineRule="exact"/>
        <w:jc w:val="center"/>
        <w:rPr>
          <w:sz w:val="44"/>
          <w:szCs w:val="44"/>
          <w:highlight w:val="none"/>
        </w:rPr>
      </w:pPr>
    </w:p>
    <w:p w14:paraId="7BE5516C">
      <w:pPr>
        <w:spacing w:line="440" w:lineRule="exact"/>
        <w:jc w:val="center"/>
        <w:rPr>
          <w:sz w:val="44"/>
          <w:szCs w:val="44"/>
          <w:highlight w:val="none"/>
        </w:rPr>
      </w:pPr>
    </w:p>
    <w:p w14:paraId="393E1E92">
      <w:pPr>
        <w:spacing w:line="440" w:lineRule="exact"/>
        <w:jc w:val="center"/>
        <w:rPr>
          <w:sz w:val="44"/>
          <w:szCs w:val="44"/>
          <w:highlight w:val="none"/>
        </w:rPr>
      </w:pPr>
    </w:p>
    <w:p w14:paraId="19BE41BF">
      <w:pPr>
        <w:spacing w:line="440" w:lineRule="exact"/>
        <w:jc w:val="center"/>
        <w:rPr>
          <w:sz w:val="44"/>
          <w:szCs w:val="44"/>
          <w:highlight w:val="none"/>
        </w:rPr>
      </w:pPr>
    </w:p>
    <w:p w14:paraId="1D6F16D2">
      <w:pPr>
        <w:spacing w:line="440" w:lineRule="exact"/>
        <w:jc w:val="center"/>
        <w:rPr>
          <w:sz w:val="44"/>
          <w:szCs w:val="44"/>
          <w:highlight w:val="none"/>
        </w:rPr>
      </w:pPr>
    </w:p>
    <w:p w14:paraId="4E1908CE">
      <w:pPr>
        <w:pStyle w:val="40"/>
        <w:rPr>
          <w:rFonts w:ascii="Times New Roman" w:hAnsi="Times New Roman"/>
          <w:highlight w:val="none"/>
        </w:rPr>
        <w:sectPr>
          <w:pgSz w:w="11905" w:h="16838"/>
          <w:pgMar w:top="1417" w:right="1304" w:bottom="1417" w:left="1304" w:header="850" w:footer="992" w:gutter="0"/>
          <w:cols w:space="0" w:num="1"/>
          <w:docGrid w:type="lines" w:linePitch="312" w:charSpace="0"/>
        </w:sectPr>
      </w:pPr>
      <w:bookmarkStart w:id="0" w:name="_Toc17959"/>
      <w:bookmarkStart w:id="1" w:name="_Toc9951095"/>
      <w:bookmarkStart w:id="2" w:name="_Toc5274"/>
      <w:bookmarkStart w:id="3" w:name="_Toc19769"/>
    </w:p>
    <w:p w14:paraId="2125E4AE">
      <w:pPr>
        <w:pStyle w:val="8"/>
        <w:jc w:val="center"/>
        <w:rPr>
          <w:kern w:val="0"/>
          <w:sz w:val="32"/>
          <w:szCs w:val="32"/>
          <w:highlight w:val="none"/>
        </w:rPr>
      </w:pPr>
      <w:bookmarkStart w:id="4" w:name="_Toc23466"/>
      <w:bookmarkStart w:id="5" w:name="_Toc17753"/>
      <w:bookmarkStart w:id="6" w:name="_Toc16108"/>
      <w:bookmarkStart w:id="7" w:name="_Toc5458"/>
      <w:bookmarkStart w:id="8" w:name="_Toc7903"/>
      <w:bookmarkStart w:id="9" w:name="_Toc3937"/>
      <w:bookmarkStart w:id="10" w:name="_Toc22852"/>
      <w:bookmarkStart w:id="11" w:name="_Toc27333"/>
      <w:bookmarkStart w:id="12" w:name="_Toc31024"/>
      <w:bookmarkStart w:id="13" w:name="_Toc31946"/>
      <w:bookmarkStart w:id="14" w:name="_Toc25639"/>
      <w:bookmarkStart w:id="15" w:name="_Toc9333"/>
      <w:bookmarkStart w:id="16" w:name="_Toc21138"/>
      <w:bookmarkStart w:id="17" w:name="_Toc2196"/>
      <w:bookmarkStart w:id="18" w:name="_Toc25041"/>
      <w:bookmarkStart w:id="19" w:name="_Toc17368"/>
      <w:bookmarkStart w:id="20" w:name="_Toc1977"/>
      <w:bookmarkStart w:id="21" w:name="_Toc21219"/>
      <w:bookmarkStart w:id="22" w:name="_Toc4370"/>
      <w:bookmarkStart w:id="23" w:name="_Toc11733"/>
      <w:bookmarkStart w:id="24" w:name="_Toc839"/>
      <w:bookmarkStart w:id="25" w:name="_Toc30082"/>
      <w:bookmarkStart w:id="26" w:name="_Toc9179"/>
      <w:bookmarkStart w:id="27" w:name="_Toc3861"/>
      <w:bookmarkStart w:id="28" w:name="_Toc25509"/>
      <w:bookmarkStart w:id="29" w:name="_Toc26058"/>
      <w:bookmarkStart w:id="30" w:name="_Toc21020"/>
      <w:bookmarkStart w:id="31" w:name="_Toc12004"/>
      <w:bookmarkStart w:id="32" w:name="_Toc26703"/>
      <w:bookmarkStart w:id="33" w:name="_Toc9062"/>
      <w:bookmarkStart w:id="34" w:name="_Toc6511"/>
      <w:bookmarkStart w:id="35" w:name="_Toc30820"/>
      <w:bookmarkStart w:id="36" w:name="_Toc5259"/>
      <w:bookmarkStart w:id="37" w:name="_Toc21542"/>
      <w:bookmarkStart w:id="38" w:name="_Toc12598"/>
      <w:bookmarkStart w:id="39" w:name="_Toc32314"/>
      <w:bookmarkStart w:id="40" w:name="_Toc27674"/>
      <w:bookmarkStart w:id="41" w:name="_Toc13293"/>
      <w:bookmarkStart w:id="42" w:name="_Toc11228"/>
      <w:bookmarkStart w:id="43" w:name="_Toc14678"/>
      <w:bookmarkStart w:id="44" w:name="_Toc1848"/>
      <w:bookmarkStart w:id="45" w:name="_Toc18582"/>
      <w:bookmarkStart w:id="46" w:name="_Toc13258"/>
      <w:bookmarkStart w:id="47" w:name="_Toc12739"/>
      <w:bookmarkStart w:id="48" w:name="_Toc6778"/>
      <w:r>
        <w:rPr>
          <w:rFonts w:hint="eastAsia"/>
          <w:kern w:val="0"/>
          <w:sz w:val="32"/>
          <w:szCs w:val="32"/>
          <w:highlight w:val="none"/>
        </w:rPr>
        <w:t xml:space="preserve">第一章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kern w:val="0"/>
          <w:sz w:val="32"/>
          <w:szCs w:val="32"/>
          <w:highlight w:val="none"/>
        </w:rPr>
        <w:t>竞争性磋商</w:t>
      </w:r>
      <w:bookmarkEnd w:id="43"/>
      <w:bookmarkEnd w:id="44"/>
      <w:r>
        <w:rPr>
          <w:rFonts w:hint="eastAsia"/>
          <w:kern w:val="0"/>
          <w:sz w:val="32"/>
          <w:szCs w:val="32"/>
          <w:highlight w:val="none"/>
        </w:rPr>
        <w:t>公告</w:t>
      </w:r>
      <w:bookmarkEnd w:id="45"/>
      <w:bookmarkEnd w:id="46"/>
      <w:bookmarkEnd w:id="47"/>
      <w:bookmarkEnd w:id="48"/>
    </w:p>
    <w:p w14:paraId="7911908A">
      <w:pPr>
        <w:spacing w:line="400" w:lineRule="exact"/>
        <w:ind w:firstLine="560" w:firstLineChars="200"/>
        <w:jc w:val="center"/>
        <w:rPr>
          <w:rFonts w:hint="eastAsia" w:eastAsiaTheme="minorEastAsia"/>
          <w:sz w:val="28"/>
          <w:szCs w:val="28"/>
          <w:highlight w:val="none"/>
          <w:lang w:eastAsia="zh-CN"/>
        </w:rPr>
      </w:pPr>
      <w:r>
        <w:rPr>
          <w:rFonts w:hint="eastAsia" w:eastAsiaTheme="minorEastAsia"/>
          <w:sz w:val="28"/>
          <w:szCs w:val="28"/>
          <w:highlight w:val="none"/>
        </w:rPr>
        <w:t>桂林银行采购大模型AI智能体开发项目</w:t>
      </w:r>
      <w:r>
        <w:rPr>
          <w:rFonts w:hint="eastAsia" w:eastAsiaTheme="minorEastAsia"/>
          <w:sz w:val="28"/>
          <w:szCs w:val="28"/>
          <w:highlight w:val="none"/>
          <w:lang w:eastAsia="zh-CN"/>
        </w:rPr>
        <w:t>（</w:t>
      </w:r>
      <w:r>
        <w:rPr>
          <w:rFonts w:hint="eastAsia" w:eastAsiaTheme="minorEastAsia"/>
          <w:sz w:val="28"/>
          <w:szCs w:val="28"/>
          <w:highlight w:val="none"/>
          <w:lang w:val="en-US" w:eastAsia="zh-CN"/>
        </w:rPr>
        <w:t>GYJC2025</w:t>
      </w:r>
      <w:r>
        <w:rPr>
          <w:rFonts w:hint="eastAsia" w:eastAsiaTheme="minorEastAsia"/>
          <w:sz w:val="28"/>
          <w:szCs w:val="28"/>
          <w:highlight w:val="none"/>
          <w:lang w:val="en-US" w:eastAsia="zh-CN"/>
        </w:rPr>
        <w:t>114</w:t>
      </w:r>
      <w:r>
        <w:rPr>
          <w:rFonts w:hint="eastAsia" w:eastAsiaTheme="minorEastAsia"/>
          <w:sz w:val="28"/>
          <w:szCs w:val="28"/>
          <w:highlight w:val="none"/>
          <w:lang w:eastAsia="zh-CN"/>
        </w:rPr>
        <w:t>）</w:t>
      </w:r>
    </w:p>
    <w:p w14:paraId="043054B0">
      <w:pPr>
        <w:spacing w:line="400" w:lineRule="exact"/>
        <w:ind w:firstLine="560" w:firstLineChars="200"/>
        <w:jc w:val="center"/>
        <w:rPr>
          <w:rFonts w:eastAsiaTheme="minorEastAsia"/>
          <w:highlight w:val="none"/>
        </w:rPr>
      </w:pPr>
      <w:r>
        <w:rPr>
          <w:rFonts w:hint="eastAsia" w:eastAsiaTheme="minorEastAsia"/>
          <w:sz w:val="28"/>
          <w:szCs w:val="28"/>
          <w:highlight w:val="none"/>
        </w:rPr>
        <w:t>竞争性磋商公告</w:t>
      </w:r>
    </w:p>
    <w:p w14:paraId="6A1E3D49">
      <w:pPr>
        <w:pStyle w:val="50"/>
        <w:rPr>
          <w:highlight w:val="none"/>
        </w:rPr>
      </w:pPr>
    </w:p>
    <w:p w14:paraId="2D984B7E">
      <w:pPr>
        <w:spacing w:line="400" w:lineRule="exact"/>
        <w:ind w:firstLine="420" w:firstLineChars="200"/>
        <w:rPr>
          <w:rFonts w:eastAsiaTheme="minorEastAsia"/>
          <w:highlight w:val="none"/>
        </w:rPr>
      </w:pPr>
      <w:r>
        <w:rPr>
          <w:rFonts w:eastAsiaTheme="minorEastAsia"/>
          <w:highlight w:val="none"/>
        </w:rPr>
        <w:t>桂林银行股份有限公司对</w:t>
      </w:r>
      <w:r>
        <w:rPr>
          <w:rFonts w:hint="eastAsia" w:eastAsiaTheme="minorEastAsia"/>
          <w:highlight w:val="none"/>
        </w:rPr>
        <w:t>桂林银行采购大模型AI智能体开发项目</w:t>
      </w:r>
      <w:r>
        <w:rPr>
          <w:rFonts w:eastAsiaTheme="minorEastAsia"/>
          <w:highlight w:val="none"/>
        </w:rPr>
        <w:t>进行竞争性磋商，有关事项公告如下：</w:t>
      </w:r>
    </w:p>
    <w:p w14:paraId="77736C5B">
      <w:pPr>
        <w:spacing w:line="400" w:lineRule="exact"/>
        <w:ind w:firstLine="420" w:firstLineChars="200"/>
        <w:rPr>
          <w:rFonts w:eastAsiaTheme="minorEastAsia"/>
          <w:highlight w:val="none"/>
        </w:rPr>
      </w:pPr>
      <w:r>
        <w:rPr>
          <w:rFonts w:eastAsiaTheme="minorEastAsia"/>
          <w:highlight w:val="none"/>
        </w:rPr>
        <w:t>一、磋商项目：</w:t>
      </w:r>
      <w:r>
        <w:rPr>
          <w:rFonts w:hint="eastAsia" w:eastAsiaTheme="minorEastAsia"/>
          <w:b/>
          <w:bCs/>
          <w:highlight w:val="none"/>
        </w:rPr>
        <w:t>桂林银行采购大模型AI智能体开发项目</w:t>
      </w:r>
      <w:r>
        <w:rPr>
          <w:rFonts w:eastAsiaTheme="minorEastAsia"/>
          <w:b/>
          <w:bCs/>
          <w:kern w:val="0"/>
          <w:highlight w:val="none"/>
        </w:rPr>
        <w:t xml:space="preserve"> </w:t>
      </w:r>
      <w:r>
        <w:rPr>
          <w:rFonts w:eastAsiaTheme="minorEastAsia"/>
          <w:highlight w:val="none"/>
        </w:rPr>
        <w:t xml:space="preserve">     </w:t>
      </w:r>
    </w:p>
    <w:p w14:paraId="2AFBB38B">
      <w:pPr>
        <w:spacing w:line="400" w:lineRule="exact"/>
        <w:ind w:firstLine="420" w:firstLineChars="200"/>
        <w:rPr>
          <w:rFonts w:hint="default" w:eastAsiaTheme="minorEastAsia"/>
          <w:highlight w:val="none"/>
          <w:lang w:val="en-US" w:eastAsia="zh-CN"/>
        </w:rPr>
      </w:pPr>
      <w:r>
        <w:rPr>
          <w:rFonts w:eastAsiaTheme="minorEastAsia"/>
          <w:highlight w:val="none"/>
        </w:rPr>
        <w:t>二、项目编号：</w:t>
      </w:r>
      <w:r>
        <w:rPr>
          <w:rFonts w:eastAsiaTheme="minorEastAsia"/>
          <w:b/>
          <w:bCs/>
          <w:highlight w:val="none"/>
        </w:rPr>
        <w:t>GYJC202</w:t>
      </w:r>
      <w:r>
        <w:rPr>
          <w:rFonts w:hint="eastAsia" w:eastAsiaTheme="minorEastAsia"/>
          <w:b/>
          <w:bCs/>
          <w:highlight w:val="none"/>
        </w:rPr>
        <w:t>5</w:t>
      </w:r>
      <w:r>
        <w:rPr>
          <w:rFonts w:hint="eastAsia" w:eastAsiaTheme="minorEastAsia"/>
          <w:b/>
          <w:bCs/>
          <w:highlight w:val="none"/>
          <w:lang w:val="en-US" w:eastAsia="zh-CN"/>
        </w:rPr>
        <w:t>114</w:t>
      </w:r>
    </w:p>
    <w:p w14:paraId="49589908">
      <w:pPr>
        <w:spacing w:line="400" w:lineRule="exact"/>
        <w:ind w:firstLine="420" w:firstLineChars="200"/>
        <w:rPr>
          <w:rFonts w:eastAsiaTheme="minorEastAsia"/>
          <w:highlight w:val="none"/>
        </w:rPr>
      </w:pPr>
      <w:r>
        <w:rPr>
          <w:rFonts w:eastAsiaTheme="minorEastAsia"/>
          <w:highlight w:val="none"/>
        </w:rPr>
        <w:t>三、采购内容：拟</w:t>
      </w:r>
      <w:r>
        <w:rPr>
          <w:rFonts w:hint="eastAsia" w:eastAsiaTheme="minorEastAsia"/>
          <w:highlight w:val="none"/>
          <w:lang w:val="en-US" w:eastAsia="zh-CN"/>
        </w:rPr>
        <w:t>启动</w:t>
      </w:r>
      <w:r>
        <w:rPr>
          <w:rFonts w:hint="eastAsia" w:ascii="Times New Roman" w:hAnsi="Times New Roman" w:cs="Times New Roman" w:eastAsiaTheme="minorEastAsia"/>
          <w:highlight w:val="none"/>
        </w:rPr>
        <w:t>系统性推进大模型AI智能体建设工作，包含8项智能体核心基础设施与平台建设需求工作和8项需求部门的人工智能应用场景落地优化，</w:t>
      </w:r>
      <w:r>
        <w:rPr>
          <w:rFonts w:eastAsiaTheme="minorEastAsia"/>
          <w:highlight w:val="none"/>
        </w:rPr>
        <w:t>如需进一步了解详细内容，详见磋商文件。</w:t>
      </w:r>
    </w:p>
    <w:p w14:paraId="41F32F84">
      <w:pPr>
        <w:spacing w:line="400" w:lineRule="exact"/>
        <w:ind w:firstLine="420" w:firstLineChars="200"/>
        <w:rPr>
          <w:rFonts w:hint="eastAsia" w:eastAsiaTheme="minorEastAsia"/>
          <w:highlight w:val="none"/>
          <w:lang w:val="en-US" w:eastAsia="zh-CN"/>
        </w:rPr>
      </w:pPr>
      <w:r>
        <w:rPr>
          <w:rFonts w:eastAsiaTheme="minorEastAsia"/>
          <w:highlight w:val="none"/>
        </w:rPr>
        <w:t>四、预算金额：</w:t>
      </w:r>
      <w:r>
        <w:rPr>
          <w:rFonts w:hint="eastAsia" w:eastAsiaTheme="minorEastAsia"/>
          <w:b/>
          <w:bCs/>
          <w:highlight w:val="none"/>
          <w:lang w:val="en-US" w:eastAsia="zh-CN"/>
        </w:rPr>
        <w:t>76.8</w:t>
      </w:r>
      <w:r>
        <w:rPr>
          <w:rFonts w:hint="eastAsia" w:eastAsiaTheme="minorEastAsia"/>
          <w:b/>
          <w:bCs/>
          <w:highlight w:val="none"/>
        </w:rPr>
        <w:t>万元</w:t>
      </w:r>
      <w:r>
        <w:rPr>
          <w:rFonts w:hint="eastAsia" w:eastAsiaTheme="minorEastAsia"/>
          <w:b/>
          <w:bCs/>
          <w:highlight w:val="none"/>
          <w:lang w:eastAsia="zh-CN"/>
        </w:rPr>
        <w:t>（</w:t>
      </w:r>
      <w:r>
        <w:rPr>
          <w:rFonts w:hint="eastAsia" w:eastAsiaTheme="minorEastAsia"/>
          <w:b/>
          <w:bCs/>
          <w:highlight w:val="none"/>
          <w:lang w:val="en-US" w:eastAsia="zh-CN"/>
        </w:rPr>
        <w:t>其中明确需求费用70.4万元；新增零散开发需求6.4万元，以实际工作量结算</w:t>
      </w:r>
      <w:r>
        <w:rPr>
          <w:rFonts w:hint="eastAsia" w:eastAsiaTheme="minorEastAsia"/>
          <w:b/>
          <w:bCs/>
          <w:highlight w:val="none"/>
          <w:lang w:eastAsia="zh-CN"/>
        </w:rPr>
        <w:t>）</w:t>
      </w:r>
    </w:p>
    <w:p w14:paraId="6E21F2FC">
      <w:pPr>
        <w:spacing w:line="400" w:lineRule="exact"/>
        <w:ind w:firstLine="420" w:firstLineChars="200"/>
        <w:rPr>
          <w:rFonts w:eastAsiaTheme="minorEastAsia"/>
          <w:highlight w:val="none"/>
        </w:rPr>
      </w:pPr>
      <w:r>
        <w:rPr>
          <w:rFonts w:eastAsiaTheme="minorEastAsia"/>
          <w:highlight w:val="none"/>
        </w:rPr>
        <w:t>五、</w:t>
      </w:r>
      <w:r>
        <w:rPr>
          <w:rFonts w:hint="eastAsia" w:eastAsiaTheme="minorEastAsia"/>
          <w:highlight w:val="none"/>
        </w:rPr>
        <w:t>投标人</w:t>
      </w:r>
      <w:r>
        <w:rPr>
          <w:rFonts w:eastAsiaTheme="minorEastAsia"/>
          <w:highlight w:val="none"/>
        </w:rPr>
        <w:t>资格要求</w:t>
      </w:r>
    </w:p>
    <w:p w14:paraId="54881C78">
      <w:pPr>
        <w:spacing w:line="400" w:lineRule="exact"/>
        <w:ind w:firstLine="420" w:firstLineChars="200"/>
        <w:rPr>
          <w:rFonts w:eastAsiaTheme="minorEastAsia"/>
          <w:highlight w:val="none"/>
        </w:rPr>
      </w:pPr>
      <w:r>
        <w:rPr>
          <w:rFonts w:eastAsiaTheme="minorEastAsia"/>
          <w:highlight w:val="none"/>
        </w:rPr>
        <w:t>1.在中华人民共和国境内依法注册，具</w:t>
      </w:r>
      <w:r>
        <w:rPr>
          <w:rFonts w:hint="eastAsia" w:eastAsiaTheme="minorEastAsia"/>
          <w:highlight w:val="none"/>
        </w:rPr>
        <w:t>合法资格的投标人</w:t>
      </w:r>
      <w:r>
        <w:rPr>
          <w:rFonts w:eastAsiaTheme="minorEastAsia"/>
          <w:highlight w:val="none"/>
        </w:rPr>
        <w:t>。</w:t>
      </w:r>
    </w:p>
    <w:p w14:paraId="6A183CD2">
      <w:pPr>
        <w:spacing w:line="400" w:lineRule="exact"/>
        <w:ind w:firstLine="420" w:firstLineChars="200"/>
        <w:rPr>
          <w:rFonts w:eastAsiaTheme="minorEastAsia"/>
          <w:highlight w:val="none"/>
        </w:rPr>
      </w:pPr>
      <w:r>
        <w:rPr>
          <w:rFonts w:eastAsiaTheme="minorEastAsia"/>
          <w:highlight w:val="none"/>
        </w:rPr>
        <w:t>2.单位负责人为同一人或者存在直接控股、管理关系的不同投标人，不得参加同一合同项下的采购活动。</w:t>
      </w:r>
    </w:p>
    <w:p w14:paraId="31E50D72">
      <w:pPr>
        <w:spacing w:line="400" w:lineRule="exact"/>
        <w:ind w:firstLine="420" w:firstLineChars="200"/>
        <w:rPr>
          <w:rFonts w:eastAsiaTheme="minorEastAsia"/>
          <w:kern w:val="0"/>
          <w:highlight w:val="none"/>
        </w:rPr>
      </w:pPr>
      <w:r>
        <w:rPr>
          <w:rFonts w:eastAsiaTheme="minorEastAsia"/>
          <w:highlight w:val="none"/>
        </w:rPr>
        <w:t>3.</w:t>
      </w:r>
      <w:r>
        <w:rPr>
          <w:rFonts w:eastAsiaTheme="minorEastAsia"/>
          <w:kern w:val="0"/>
          <w:highlight w:val="none"/>
        </w:rPr>
        <w:t>具有履行合同所必需的设备和专业技术能力。</w:t>
      </w:r>
    </w:p>
    <w:p w14:paraId="42B4EA2D">
      <w:pPr>
        <w:spacing w:line="400" w:lineRule="exact"/>
        <w:ind w:firstLine="420" w:firstLineChars="200"/>
        <w:rPr>
          <w:rFonts w:eastAsiaTheme="minorEastAsia"/>
          <w:kern w:val="0"/>
          <w:highlight w:val="none"/>
        </w:rPr>
      </w:pPr>
      <w:r>
        <w:rPr>
          <w:rFonts w:hint="eastAsia" w:eastAsiaTheme="minorEastAsia"/>
          <w:kern w:val="0"/>
          <w:highlight w:val="none"/>
        </w:rPr>
        <w:t>4</w:t>
      </w:r>
      <w:r>
        <w:rPr>
          <w:rFonts w:eastAsiaTheme="minorEastAsia"/>
          <w:kern w:val="0"/>
          <w:highlight w:val="none"/>
        </w:rPr>
        <w:t>.</w:t>
      </w:r>
      <w:r>
        <w:rPr>
          <w:rFonts w:hint="eastAsia" w:ascii="宋体" w:hAnsi="宋体"/>
          <w:highlight w:val="none"/>
        </w:rPr>
        <w:t>供应商参加本采购活动前3年内在经营活动中没有重大违法记录</w:t>
      </w:r>
      <w:r>
        <w:rPr>
          <w:rFonts w:eastAsiaTheme="minorEastAsia"/>
          <w:kern w:val="0"/>
          <w:highlight w:val="none"/>
        </w:rPr>
        <w:t>。</w:t>
      </w:r>
    </w:p>
    <w:p w14:paraId="62E631F2">
      <w:pPr>
        <w:spacing w:line="400" w:lineRule="exact"/>
        <w:ind w:firstLine="420" w:firstLineChars="200"/>
        <w:rPr>
          <w:rFonts w:eastAsiaTheme="minorEastAsia"/>
          <w:highlight w:val="none"/>
        </w:rPr>
      </w:pPr>
      <w:r>
        <w:rPr>
          <w:rFonts w:hint="eastAsia" w:eastAsiaTheme="minorEastAsia"/>
          <w:kern w:val="0"/>
          <w:highlight w:val="none"/>
        </w:rPr>
        <w:t>5</w:t>
      </w:r>
      <w:r>
        <w:rPr>
          <w:rFonts w:eastAsiaTheme="minorEastAsia"/>
          <w:kern w:val="0"/>
          <w:highlight w:val="none"/>
        </w:rPr>
        <w:t>.</w:t>
      </w:r>
      <w:r>
        <w:rPr>
          <w:rFonts w:hint="eastAsia" w:ascii="宋体" w:hAnsi="宋体"/>
          <w:highlight w:val="none"/>
        </w:rPr>
        <w:t>对在“信用中国”网站</w:t>
      </w:r>
      <w:r>
        <w:rPr>
          <w:rFonts w:ascii="宋体" w:hAnsi="宋体"/>
          <w:highlight w:val="none"/>
        </w:rPr>
        <w:t>(www.creditchina.gov.cn)</w:t>
      </w:r>
      <w:r>
        <w:rPr>
          <w:rFonts w:hint="eastAsia" w:ascii="宋体" w:hAnsi="宋体"/>
          <w:highlight w:val="none"/>
        </w:rPr>
        <w:t>渠道列入失信被执行人、</w:t>
      </w:r>
      <w:r>
        <w:rPr>
          <w:rFonts w:hint="eastAsia"/>
          <w:highlight w:val="none"/>
        </w:rPr>
        <w:t>重大税收违法失信主体</w:t>
      </w:r>
      <w:r>
        <w:rPr>
          <w:rFonts w:hint="eastAsia" w:ascii="宋体" w:hAnsi="宋体"/>
          <w:highlight w:val="none"/>
        </w:rPr>
        <w:t>、采购严重违法失信行为记录名单的供应商，不得参与本采购活动</w:t>
      </w:r>
      <w:r>
        <w:rPr>
          <w:rFonts w:eastAsiaTheme="minorEastAsia"/>
          <w:kern w:val="0"/>
          <w:highlight w:val="none"/>
        </w:rPr>
        <w:t>。</w:t>
      </w:r>
    </w:p>
    <w:p w14:paraId="0F7177EC">
      <w:pPr>
        <w:spacing w:line="400" w:lineRule="exact"/>
        <w:ind w:firstLine="420" w:firstLineChars="200"/>
        <w:rPr>
          <w:rFonts w:eastAsiaTheme="minorEastAsia"/>
          <w:highlight w:val="none"/>
        </w:rPr>
      </w:pPr>
      <w:r>
        <w:rPr>
          <w:rFonts w:hint="eastAsia" w:eastAsiaTheme="minorEastAsia"/>
          <w:highlight w:val="none"/>
        </w:rPr>
        <w:t>6</w:t>
      </w:r>
      <w:r>
        <w:rPr>
          <w:rFonts w:eastAsiaTheme="minorEastAsia"/>
          <w:highlight w:val="none"/>
        </w:rPr>
        <w:t>.本项目不接受联合体投标。</w:t>
      </w:r>
    </w:p>
    <w:p w14:paraId="4D4E3FFE">
      <w:pPr>
        <w:spacing w:line="400" w:lineRule="exact"/>
        <w:ind w:firstLine="420" w:firstLineChars="200"/>
        <w:rPr>
          <w:rFonts w:eastAsiaTheme="minorEastAsia"/>
          <w:highlight w:val="none"/>
        </w:rPr>
      </w:pPr>
      <w:r>
        <w:rPr>
          <w:rFonts w:eastAsiaTheme="minorEastAsia"/>
          <w:highlight w:val="none"/>
        </w:rPr>
        <w:t>六、磋商文件的获取：</w:t>
      </w:r>
    </w:p>
    <w:p w14:paraId="6DACDD26">
      <w:pPr>
        <w:spacing w:line="400" w:lineRule="exact"/>
        <w:ind w:firstLine="420" w:firstLineChars="200"/>
        <w:rPr>
          <w:rFonts w:eastAsiaTheme="minorEastAsia"/>
          <w:b/>
          <w:bCs/>
          <w:highlight w:val="none"/>
        </w:rPr>
      </w:pPr>
      <w:r>
        <w:rPr>
          <w:rFonts w:eastAsiaTheme="minorEastAsia"/>
          <w:highlight w:val="none"/>
        </w:rPr>
        <w:t>1.获取时间：请潜在</w:t>
      </w:r>
      <w:r>
        <w:rPr>
          <w:rFonts w:hint="eastAsia" w:eastAsiaTheme="minorEastAsia"/>
          <w:highlight w:val="none"/>
        </w:rPr>
        <w:t>投标人</w:t>
      </w:r>
      <w:r>
        <w:rPr>
          <w:rFonts w:eastAsiaTheme="minorEastAsia"/>
          <w:highlight w:val="none"/>
        </w:rPr>
        <w:t>于</w:t>
      </w:r>
      <w:r>
        <w:rPr>
          <w:rFonts w:hint="eastAsia" w:eastAsiaTheme="minorEastAsia"/>
          <w:highlight w:val="none"/>
        </w:rPr>
        <w:t>本公告有效期限内，即</w:t>
      </w:r>
      <w:r>
        <w:rPr>
          <w:rFonts w:eastAsiaTheme="minorEastAsia"/>
          <w:b/>
          <w:bCs/>
          <w:highlight w:val="none"/>
        </w:rPr>
        <w:t>202</w:t>
      </w:r>
      <w:r>
        <w:rPr>
          <w:rFonts w:hint="eastAsia" w:eastAsiaTheme="minorEastAsia"/>
          <w:b/>
          <w:bCs/>
          <w:highlight w:val="none"/>
        </w:rPr>
        <w:t>5</w:t>
      </w:r>
      <w:r>
        <w:rPr>
          <w:rFonts w:eastAsiaTheme="minorEastAsia"/>
          <w:b/>
          <w:bCs/>
          <w:highlight w:val="none"/>
        </w:rPr>
        <w:t>年</w:t>
      </w:r>
      <w:r>
        <w:rPr>
          <w:rFonts w:hint="eastAsia" w:eastAsiaTheme="minorEastAsia"/>
          <w:b/>
          <w:bCs/>
          <w:highlight w:val="none"/>
          <w:lang w:val="en-US" w:eastAsia="zh-CN"/>
        </w:rPr>
        <w:t>1</w:t>
      </w:r>
      <w:r>
        <w:rPr>
          <w:rFonts w:hint="eastAsia" w:eastAsiaTheme="minorEastAsia"/>
          <w:b/>
          <w:bCs/>
          <w:highlight w:val="none"/>
          <w:lang w:val="en-US" w:eastAsia="zh-CN"/>
        </w:rPr>
        <w:t>1</w:t>
      </w:r>
      <w:r>
        <w:rPr>
          <w:rFonts w:eastAsiaTheme="minorEastAsia"/>
          <w:b/>
          <w:bCs/>
          <w:highlight w:val="none"/>
        </w:rPr>
        <w:t>月</w:t>
      </w:r>
      <w:r>
        <w:rPr>
          <w:rFonts w:hint="eastAsia" w:eastAsiaTheme="minorEastAsia"/>
          <w:b/>
          <w:bCs/>
          <w:highlight w:val="none"/>
          <w:lang w:val="en-US" w:eastAsia="zh-CN"/>
        </w:rPr>
        <w:t>2</w:t>
      </w:r>
      <w:r>
        <w:rPr>
          <w:rFonts w:eastAsiaTheme="minorEastAsia"/>
          <w:b/>
          <w:bCs/>
          <w:highlight w:val="none"/>
        </w:rPr>
        <w:t>日至202</w:t>
      </w:r>
      <w:r>
        <w:rPr>
          <w:rFonts w:hint="eastAsia" w:eastAsiaTheme="minorEastAsia"/>
          <w:b/>
          <w:bCs/>
          <w:highlight w:val="none"/>
        </w:rPr>
        <w:t>5</w:t>
      </w:r>
      <w:r>
        <w:rPr>
          <w:rFonts w:eastAsiaTheme="minorEastAsia"/>
          <w:b/>
          <w:bCs/>
          <w:highlight w:val="none"/>
        </w:rPr>
        <w:t>年</w:t>
      </w:r>
      <w:r>
        <w:rPr>
          <w:rFonts w:hint="eastAsia" w:eastAsiaTheme="minorEastAsia"/>
          <w:b/>
          <w:bCs/>
          <w:highlight w:val="none"/>
          <w:lang w:val="en-US" w:eastAsia="zh-CN"/>
        </w:rPr>
        <w:t>1</w:t>
      </w:r>
      <w:r>
        <w:rPr>
          <w:rFonts w:hint="eastAsia" w:eastAsiaTheme="minorEastAsia"/>
          <w:b/>
          <w:bCs/>
          <w:highlight w:val="none"/>
          <w:lang w:val="en-US" w:eastAsia="zh-CN"/>
        </w:rPr>
        <w:t>1</w:t>
      </w:r>
      <w:r>
        <w:rPr>
          <w:rFonts w:eastAsiaTheme="minorEastAsia"/>
          <w:b/>
          <w:bCs/>
          <w:highlight w:val="none"/>
        </w:rPr>
        <w:t>月</w:t>
      </w:r>
      <w:r>
        <w:rPr>
          <w:rFonts w:hint="eastAsia" w:eastAsiaTheme="minorEastAsia"/>
          <w:b/>
          <w:bCs/>
          <w:highlight w:val="none"/>
          <w:lang w:val="en-US" w:eastAsia="zh-CN"/>
        </w:rPr>
        <w:t>7</w:t>
      </w:r>
      <w:r>
        <w:rPr>
          <w:rFonts w:eastAsiaTheme="minorEastAsia"/>
          <w:b/>
          <w:bCs/>
          <w:highlight w:val="none"/>
        </w:rPr>
        <w:t>日17时止</w:t>
      </w:r>
      <w:r>
        <w:rPr>
          <w:rFonts w:hint="eastAsia" w:eastAsiaTheme="minorEastAsia"/>
          <w:b/>
          <w:bCs/>
          <w:highlight w:val="none"/>
        </w:rPr>
        <w:t>（北京时间）</w:t>
      </w:r>
    </w:p>
    <w:p w14:paraId="6A161B70">
      <w:pPr>
        <w:spacing w:line="400" w:lineRule="exact"/>
        <w:ind w:firstLine="422" w:firstLineChars="200"/>
        <w:rPr>
          <w:rFonts w:eastAsiaTheme="minorEastAsia"/>
          <w:b/>
          <w:bCs/>
          <w:highlight w:val="none"/>
        </w:rPr>
      </w:pPr>
      <w:r>
        <w:rPr>
          <w:rFonts w:eastAsiaTheme="minorEastAsia"/>
          <w:b/>
          <w:bCs/>
          <w:highlight w:val="none"/>
        </w:rPr>
        <w:t>2.获取方式：在线获取。</w:t>
      </w:r>
    </w:p>
    <w:p w14:paraId="0FC0ED39">
      <w:pPr>
        <w:spacing w:line="400" w:lineRule="exact"/>
        <w:ind w:firstLine="420" w:firstLineChars="200"/>
        <w:rPr>
          <w:rFonts w:eastAsiaTheme="minorEastAsia"/>
          <w:kern w:val="0"/>
          <w:highlight w:val="none"/>
        </w:rPr>
      </w:pPr>
      <w:r>
        <w:rPr>
          <w:rFonts w:hint="eastAsia" w:eastAsiaTheme="minorEastAsia"/>
          <w:highlight w:val="none"/>
        </w:rPr>
        <w:t>（1）</w:t>
      </w:r>
      <w:r>
        <w:rPr>
          <w:rFonts w:eastAsiaTheme="minorEastAsia"/>
          <w:highlight w:val="none"/>
        </w:rPr>
        <w:t>请潜在</w:t>
      </w:r>
      <w:r>
        <w:rPr>
          <w:rFonts w:hint="eastAsia" w:eastAsiaTheme="minorEastAsia"/>
          <w:highlight w:val="none"/>
        </w:rPr>
        <w:t>投标人</w:t>
      </w:r>
      <w:r>
        <w:rPr>
          <w:rFonts w:eastAsiaTheme="minorEastAsia"/>
          <w:highlight w:val="none"/>
        </w:rPr>
        <w:t>登陆</w:t>
      </w:r>
      <w:r>
        <w:rPr>
          <w:rFonts w:eastAsiaTheme="minorEastAsia"/>
          <w:kern w:val="0"/>
          <w:highlight w:val="none"/>
        </w:rPr>
        <w:t>桂林银行股份有限公司官网（https://www.guilinbank.com.cn/），在线下载完成采购文件的获取。获取方式：网站首页</w:t>
      </w:r>
      <w:r>
        <w:rPr>
          <w:rFonts w:hint="eastAsia" w:eastAsiaTheme="minorEastAsia"/>
          <w:kern w:val="0"/>
          <w:highlight w:val="none"/>
        </w:rPr>
        <w:t>“</w:t>
      </w:r>
      <w:r>
        <w:rPr>
          <w:rFonts w:eastAsiaTheme="minorEastAsia"/>
          <w:kern w:val="0"/>
          <w:highlight w:val="none"/>
        </w:rPr>
        <w:t>关于桂银</w:t>
      </w:r>
      <w:r>
        <w:rPr>
          <w:rFonts w:hint="eastAsia" w:eastAsiaTheme="minorEastAsia"/>
          <w:kern w:val="0"/>
          <w:highlight w:val="none"/>
        </w:rPr>
        <w:t>”</w:t>
      </w:r>
      <w:r>
        <w:rPr>
          <w:rFonts w:eastAsiaTheme="minorEastAsia"/>
          <w:kern w:val="0"/>
          <w:highlight w:val="none"/>
        </w:rPr>
        <w:t>之</w:t>
      </w:r>
      <w:r>
        <w:rPr>
          <w:rFonts w:hint="eastAsia" w:eastAsiaTheme="minorEastAsia"/>
          <w:kern w:val="0"/>
          <w:highlight w:val="none"/>
        </w:rPr>
        <w:t>“</w:t>
      </w:r>
      <w:r>
        <w:rPr>
          <w:rFonts w:eastAsiaTheme="minorEastAsia"/>
          <w:kern w:val="0"/>
          <w:highlight w:val="none"/>
        </w:rPr>
        <w:t>集采专栏—招标公告</w:t>
      </w:r>
      <w:r>
        <w:rPr>
          <w:rFonts w:hint="eastAsia" w:eastAsiaTheme="minorEastAsia"/>
          <w:kern w:val="0"/>
          <w:highlight w:val="none"/>
        </w:rPr>
        <w:t>”</w:t>
      </w:r>
      <w:r>
        <w:rPr>
          <w:rFonts w:eastAsiaTheme="minorEastAsia"/>
          <w:kern w:val="0"/>
          <w:highlight w:val="none"/>
        </w:rPr>
        <w:t>栏目中点击下载。</w:t>
      </w:r>
    </w:p>
    <w:p w14:paraId="52D4A1A7">
      <w:pPr>
        <w:pStyle w:val="2"/>
        <w:ind w:left="0" w:leftChars="0"/>
        <w:rPr>
          <w:rFonts w:ascii="Times New Roman" w:hAnsi="Times New Roman" w:eastAsiaTheme="minorEastAsia"/>
          <w:szCs w:val="21"/>
          <w:highlight w:val="none"/>
        </w:rPr>
      </w:pPr>
      <w:r>
        <w:rPr>
          <w:rFonts w:hint="eastAsia" w:ascii="Times New Roman" w:hAnsi="Times New Roman" w:eastAsiaTheme="minorEastAsia"/>
          <w:szCs w:val="21"/>
          <w:highlight w:val="none"/>
        </w:rPr>
        <w:t>（2）报名材料（格式详见附件）：①主体资格证明（如营业执照、事业单位法人证书、执业许可证等）；②法定代表人（负责人）及委托代理人身份证；③法定代表人（负责人）授权书（须注明项目名称、项目编号）。（以上资料均须加盖单位公章并为原件的清晰扫描件）。并请于</w:t>
      </w:r>
      <w:r>
        <w:rPr>
          <w:rFonts w:ascii="Times New Roman" w:hAnsi="Times New Roman" w:eastAsiaTheme="minorEastAsia"/>
          <w:b/>
          <w:bCs/>
          <w:szCs w:val="21"/>
          <w:highlight w:val="none"/>
        </w:rPr>
        <w:t>202</w:t>
      </w:r>
      <w:r>
        <w:rPr>
          <w:rFonts w:hint="eastAsia" w:eastAsiaTheme="minorEastAsia"/>
          <w:b/>
          <w:bCs/>
          <w:szCs w:val="21"/>
          <w:highlight w:val="none"/>
        </w:rPr>
        <w:t>5</w:t>
      </w:r>
      <w:r>
        <w:rPr>
          <w:rFonts w:ascii="Times New Roman" w:hAnsi="Times New Roman" w:eastAsiaTheme="minorEastAsia"/>
          <w:b/>
          <w:bCs/>
          <w:szCs w:val="21"/>
          <w:highlight w:val="none"/>
        </w:rPr>
        <w:t>年</w:t>
      </w:r>
      <w:r>
        <w:rPr>
          <w:rFonts w:hint="eastAsia" w:eastAsiaTheme="minorEastAsia"/>
          <w:b/>
          <w:bCs/>
          <w:szCs w:val="21"/>
          <w:highlight w:val="none"/>
          <w:lang w:val="en-US" w:eastAsia="zh-CN"/>
        </w:rPr>
        <w:t>1</w:t>
      </w:r>
      <w:r>
        <w:rPr>
          <w:rFonts w:hint="eastAsia" w:eastAsiaTheme="minorEastAsia"/>
          <w:b/>
          <w:bCs/>
          <w:szCs w:val="21"/>
          <w:highlight w:val="none"/>
          <w:lang w:val="en-US" w:eastAsia="zh-CN"/>
        </w:rPr>
        <w:t>1</w:t>
      </w:r>
      <w:r>
        <w:rPr>
          <w:rFonts w:ascii="Times New Roman" w:hAnsi="Times New Roman" w:eastAsiaTheme="minorEastAsia"/>
          <w:b/>
          <w:bCs/>
          <w:szCs w:val="21"/>
          <w:highlight w:val="none"/>
        </w:rPr>
        <w:t>月</w:t>
      </w:r>
      <w:r>
        <w:rPr>
          <w:rFonts w:hint="eastAsia" w:ascii="Times New Roman" w:hAnsi="Times New Roman" w:eastAsiaTheme="minorEastAsia"/>
          <w:b/>
          <w:bCs/>
          <w:szCs w:val="21"/>
          <w:highlight w:val="none"/>
          <w:lang w:val="en-US" w:eastAsia="zh-CN"/>
        </w:rPr>
        <w:t>7</w:t>
      </w:r>
      <w:r>
        <w:rPr>
          <w:rFonts w:ascii="Times New Roman" w:hAnsi="Times New Roman" w:eastAsiaTheme="minorEastAsia"/>
          <w:b/>
          <w:bCs/>
          <w:szCs w:val="21"/>
          <w:highlight w:val="none"/>
        </w:rPr>
        <w:t>日17时</w:t>
      </w:r>
      <w:r>
        <w:rPr>
          <w:rFonts w:hint="eastAsia" w:ascii="Times New Roman" w:hAnsi="Times New Roman" w:eastAsiaTheme="minorEastAsia"/>
          <w:b/>
          <w:bCs/>
          <w:szCs w:val="21"/>
          <w:highlight w:val="none"/>
        </w:rPr>
        <w:t>前（北京时间）</w:t>
      </w:r>
      <w:r>
        <w:rPr>
          <w:rFonts w:hint="eastAsia" w:ascii="Times New Roman" w:hAnsi="Times New Roman" w:eastAsiaTheme="minorEastAsia"/>
          <w:szCs w:val="21"/>
          <w:highlight w:val="none"/>
        </w:rPr>
        <w:t>发送至</w:t>
      </w:r>
      <w:r>
        <w:rPr>
          <w:rFonts w:hint="eastAsia" w:ascii="Times New Roman" w:hAnsi="Times New Roman" w:eastAsiaTheme="minorEastAsia"/>
          <w:b/>
          <w:bCs/>
          <w:szCs w:val="21"/>
          <w:highlight w:val="none"/>
        </w:rPr>
        <w:t>jiczx@guilinbank.com.cn邮箱完成登记</w:t>
      </w:r>
      <w:r>
        <w:rPr>
          <w:rFonts w:hint="eastAsia" w:ascii="Times New Roman" w:hAnsi="Times New Roman" w:eastAsiaTheme="minorEastAsia"/>
          <w:szCs w:val="21"/>
          <w:highlight w:val="none"/>
        </w:rPr>
        <w:t>，</w:t>
      </w:r>
      <w:r>
        <w:rPr>
          <w:rFonts w:hint="eastAsia" w:ascii="Times New Roman" w:hAnsi="Times New Roman" w:eastAsiaTheme="minorEastAsia"/>
          <w:b/>
          <w:bCs/>
          <w:szCs w:val="21"/>
          <w:highlight w:val="none"/>
        </w:rPr>
        <w:t>逾期将不予受理</w:t>
      </w:r>
      <w:r>
        <w:rPr>
          <w:rFonts w:hint="eastAsia" w:ascii="Times New Roman" w:hAnsi="Times New Roman" w:eastAsiaTheme="minorEastAsia"/>
          <w:szCs w:val="21"/>
          <w:highlight w:val="none"/>
        </w:rPr>
        <w:t>。</w:t>
      </w:r>
    </w:p>
    <w:p w14:paraId="20631E96">
      <w:pPr>
        <w:spacing w:line="400" w:lineRule="exact"/>
        <w:ind w:firstLine="420" w:firstLineChars="200"/>
        <w:rPr>
          <w:rFonts w:eastAsiaTheme="minorEastAsia"/>
          <w:kern w:val="0"/>
          <w:highlight w:val="none"/>
        </w:rPr>
      </w:pPr>
      <w:r>
        <w:rPr>
          <w:rFonts w:eastAsiaTheme="minorEastAsia"/>
          <w:kern w:val="0"/>
          <w:highlight w:val="none"/>
        </w:rPr>
        <w:t>七、响应文件递交截止时间和地点：</w:t>
      </w:r>
    </w:p>
    <w:p w14:paraId="795B0218">
      <w:pPr>
        <w:spacing w:line="400" w:lineRule="exact"/>
        <w:ind w:firstLine="420" w:firstLineChars="200"/>
        <w:rPr>
          <w:rFonts w:eastAsiaTheme="minorEastAsia"/>
          <w:b/>
          <w:bCs/>
          <w:kern w:val="0"/>
          <w:highlight w:val="none"/>
        </w:rPr>
      </w:pPr>
      <w:r>
        <w:rPr>
          <w:rFonts w:eastAsiaTheme="minorEastAsia"/>
          <w:kern w:val="0"/>
          <w:highlight w:val="none"/>
        </w:rPr>
        <w:t>1.响应文件递交开始时间：</w:t>
      </w:r>
      <w:r>
        <w:rPr>
          <w:rFonts w:eastAsiaTheme="minorEastAsia"/>
          <w:b/>
          <w:bCs/>
          <w:kern w:val="0"/>
          <w:highlight w:val="none"/>
        </w:rPr>
        <w:t>202</w:t>
      </w:r>
      <w:r>
        <w:rPr>
          <w:rFonts w:hint="eastAsia" w:eastAsiaTheme="minorEastAsia"/>
          <w:b/>
          <w:bCs/>
          <w:kern w:val="0"/>
          <w:highlight w:val="none"/>
        </w:rPr>
        <w:t>5</w:t>
      </w:r>
      <w:r>
        <w:rPr>
          <w:rFonts w:eastAsiaTheme="minorEastAsia"/>
          <w:b/>
          <w:bCs/>
          <w:kern w:val="0"/>
          <w:highlight w:val="none"/>
        </w:rPr>
        <w:t>年</w:t>
      </w:r>
      <w:r>
        <w:rPr>
          <w:rFonts w:hint="eastAsia" w:eastAsiaTheme="minorEastAsia"/>
          <w:b/>
          <w:bCs/>
          <w:kern w:val="0"/>
          <w:highlight w:val="none"/>
        </w:rPr>
        <w:t>1</w:t>
      </w:r>
      <w:r>
        <w:rPr>
          <w:rFonts w:hint="eastAsia" w:eastAsiaTheme="minorEastAsia"/>
          <w:b/>
          <w:bCs/>
          <w:kern w:val="0"/>
          <w:highlight w:val="none"/>
          <w:lang w:val="en-US" w:eastAsia="zh-CN"/>
        </w:rPr>
        <w:t>1</w:t>
      </w:r>
      <w:r>
        <w:rPr>
          <w:rFonts w:eastAsiaTheme="minorEastAsia"/>
          <w:b/>
          <w:bCs/>
          <w:kern w:val="0"/>
          <w:highlight w:val="none"/>
        </w:rPr>
        <w:t>月</w:t>
      </w:r>
      <w:r>
        <w:rPr>
          <w:rFonts w:hint="eastAsia" w:eastAsiaTheme="minorEastAsia"/>
          <w:b/>
          <w:bCs/>
          <w:kern w:val="0"/>
          <w:highlight w:val="none"/>
          <w:lang w:val="en-US" w:eastAsia="zh-CN"/>
        </w:rPr>
        <w:t>14</w:t>
      </w:r>
      <w:r>
        <w:rPr>
          <w:rFonts w:eastAsiaTheme="minorEastAsia"/>
          <w:b/>
          <w:bCs/>
          <w:kern w:val="0"/>
          <w:highlight w:val="none"/>
        </w:rPr>
        <w:t>日</w:t>
      </w:r>
      <w:r>
        <w:rPr>
          <w:rFonts w:hint="eastAsia" w:eastAsiaTheme="minorEastAsia"/>
          <w:b/>
          <w:bCs/>
          <w:kern w:val="0"/>
          <w:highlight w:val="none"/>
        </w:rPr>
        <w:t>08</w:t>
      </w:r>
      <w:r>
        <w:rPr>
          <w:rFonts w:eastAsiaTheme="minorEastAsia"/>
          <w:b/>
          <w:bCs/>
          <w:kern w:val="0"/>
          <w:highlight w:val="none"/>
        </w:rPr>
        <w:t>时</w:t>
      </w:r>
      <w:r>
        <w:rPr>
          <w:rFonts w:hint="eastAsia" w:eastAsiaTheme="minorEastAsia"/>
          <w:b/>
          <w:bCs/>
          <w:kern w:val="0"/>
          <w:highlight w:val="none"/>
        </w:rPr>
        <w:t>45分</w:t>
      </w:r>
      <w:r>
        <w:rPr>
          <w:rFonts w:hint="eastAsia" w:eastAsiaTheme="minorEastAsia"/>
          <w:kern w:val="0"/>
          <w:highlight w:val="none"/>
        </w:rPr>
        <w:t>（北京时间）。</w:t>
      </w:r>
    </w:p>
    <w:p w14:paraId="22DFC434">
      <w:pPr>
        <w:spacing w:line="400" w:lineRule="exact"/>
        <w:ind w:firstLine="420" w:firstLineChars="200"/>
        <w:rPr>
          <w:rFonts w:eastAsiaTheme="minorEastAsia"/>
          <w:kern w:val="0"/>
          <w:highlight w:val="none"/>
        </w:rPr>
      </w:pPr>
      <w:r>
        <w:rPr>
          <w:rFonts w:hint="eastAsia" w:eastAsiaTheme="minorEastAsia"/>
          <w:kern w:val="0"/>
          <w:highlight w:val="none"/>
        </w:rPr>
        <w:t>2.响应文件递交截止时间：</w:t>
      </w:r>
      <w:r>
        <w:rPr>
          <w:rFonts w:hint="eastAsia" w:eastAsiaTheme="minorEastAsia"/>
          <w:b/>
          <w:bCs/>
          <w:kern w:val="0"/>
          <w:highlight w:val="none"/>
        </w:rPr>
        <w:t>2025年1</w:t>
      </w:r>
      <w:r>
        <w:rPr>
          <w:rFonts w:hint="eastAsia" w:eastAsiaTheme="minorEastAsia"/>
          <w:b/>
          <w:bCs/>
          <w:kern w:val="0"/>
          <w:highlight w:val="none"/>
          <w:lang w:val="en-US" w:eastAsia="zh-CN"/>
        </w:rPr>
        <w:t>1</w:t>
      </w:r>
      <w:r>
        <w:rPr>
          <w:rFonts w:hint="eastAsia" w:eastAsiaTheme="minorEastAsia"/>
          <w:b/>
          <w:bCs/>
          <w:kern w:val="0"/>
          <w:highlight w:val="none"/>
        </w:rPr>
        <w:t>月</w:t>
      </w:r>
      <w:r>
        <w:rPr>
          <w:rFonts w:hint="eastAsia" w:eastAsiaTheme="minorEastAsia"/>
          <w:b/>
          <w:bCs/>
          <w:kern w:val="0"/>
          <w:highlight w:val="none"/>
          <w:lang w:val="en-US" w:eastAsia="zh-CN"/>
        </w:rPr>
        <w:t>14</w:t>
      </w:r>
      <w:r>
        <w:rPr>
          <w:rFonts w:hint="eastAsia" w:eastAsiaTheme="minorEastAsia"/>
          <w:b/>
          <w:bCs/>
          <w:kern w:val="0"/>
          <w:highlight w:val="none"/>
        </w:rPr>
        <w:t>日09时00分</w:t>
      </w:r>
      <w:r>
        <w:rPr>
          <w:rFonts w:hint="eastAsia" w:eastAsiaTheme="minorEastAsia"/>
          <w:kern w:val="0"/>
          <w:highlight w:val="none"/>
        </w:rPr>
        <w:t>（北京时间）。</w:t>
      </w:r>
    </w:p>
    <w:p w14:paraId="3F19CAB4">
      <w:pPr>
        <w:spacing w:line="400" w:lineRule="exact"/>
        <w:ind w:firstLine="420" w:firstLineChars="200"/>
        <w:rPr>
          <w:rFonts w:eastAsiaTheme="minorEastAsia"/>
          <w:kern w:val="0"/>
          <w:highlight w:val="none"/>
        </w:rPr>
      </w:pPr>
      <w:r>
        <w:rPr>
          <w:rFonts w:hint="eastAsia" w:eastAsiaTheme="minorEastAsia"/>
          <w:kern w:val="0"/>
          <w:highlight w:val="none"/>
        </w:rPr>
        <w:t>3.递交地点：投标人</w:t>
      </w:r>
      <w:r>
        <w:rPr>
          <w:rFonts w:eastAsiaTheme="minorEastAsia"/>
          <w:kern w:val="0"/>
          <w:highlight w:val="none"/>
        </w:rPr>
        <w:t>应在响应文件递交起止时间内将响应文件密封</w:t>
      </w:r>
      <w:r>
        <w:rPr>
          <w:rFonts w:hint="eastAsia" w:eastAsiaTheme="minorEastAsia"/>
          <w:kern w:val="0"/>
          <w:highlight w:val="none"/>
        </w:rPr>
        <w:t>递交到</w:t>
      </w:r>
      <w:r>
        <w:rPr>
          <w:rFonts w:eastAsiaTheme="minorEastAsia"/>
          <w:b/>
          <w:bCs/>
          <w:kern w:val="0"/>
          <w:highlight w:val="none"/>
        </w:rPr>
        <w:t>桂林银行（</w:t>
      </w:r>
      <w:r>
        <w:rPr>
          <w:rFonts w:eastAsiaTheme="minorEastAsia"/>
          <w:b/>
          <w:bCs/>
          <w:highlight w:val="none"/>
        </w:rPr>
        <w:t>广西桂林市临桂区公园北路8号桂林金融大厦A附楼三楼</w:t>
      </w:r>
      <w:r>
        <w:rPr>
          <w:rFonts w:eastAsiaTheme="minorEastAsia"/>
          <w:b/>
          <w:bCs/>
          <w:kern w:val="0"/>
          <w:highlight w:val="none"/>
        </w:rPr>
        <w:t>）</w:t>
      </w:r>
      <w:r>
        <w:rPr>
          <w:rFonts w:eastAsiaTheme="minorEastAsia"/>
          <w:kern w:val="0"/>
          <w:highlight w:val="none"/>
        </w:rPr>
        <w:t>，逾期送达的、未送达指定地点的或者不按照磋商文件要求密封的响应文件将予以拒收。</w:t>
      </w:r>
    </w:p>
    <w:p w14:paraId="363CA023">
      <w:pPr>
        <w:spacing w:line="400" w:lineRule="exact"/>
        <w:ind w:firstLine="420" w:firstLineChars="200"/>
        <w:rPr>
          <w:rFonts w:eastAsiaTheme="minorEastAsia"/>
          <w:highlight w:val="none"/>
        </w:rPr>
      </w:pPr>
      <w:r>
        <w:rPr>
          <w:rFonts w:eastAsiaTheme="minorEastAsia"/>
          <w:highlight w:val="none"/>
        </w:rPr>
        <w:t>八、磋商时间</w:t>
      </w:r>
      <w:r>
        <w:rPr>
          <w:rFonts w:hint="eastAsia" w:eastAsiaTheme="minorEastAsia"/>
          <w:highlight w:val="none"/>
        </w:rPr>
        <w:t>及地点</w:t>
      </w:r>
      <w:r>
        <w:rPr>
          <w:rFonts w:eastAsiaTheme="minorEastAsia"/>
          <w:highlight w:val="none"/>
        </w:rPr>
        <w:t>：</w:t>
      </w:r>
      <w:r>
        <w:rPr>
          <w:rFonts w:hint="eastAsia" w:eastAsiaTheme="minorEastAsia"/>
          <w:highlight w:val="none"/>
        </w:rPr>
        <w:t>响应文件递交截止时间后为磋商小组与投标人磋商时间，</w:t>
      </w:r>
      <w:r>
        <w:rPr>
          <w:rFonts w:eastAsiaTheme="minorEastAsia"/>
          <w:highlight w:val="none"/>
        </w:rPr>
        <w:t>地点：广西桂林市临桂区公园北路8号桂林金融大厦A附楼三楼会议室，参加磋商的法定代表人或委托代理人必须持有效身份证原件，依时到达指定地点等候磋商。</w:t>
      </w:r>
    </w:p>
    <w:p w14:paraId="531D63D6">
      <w:pPr>
        <w:spacing w:line="400" w:lineRule="exact"/>
        <w:ind w:firstLine="420" w:firstLineChars="200"/>
        <w:rPr>
          <w:rFonts w:eastAsiaTheme="minorEastAsia"/>
          <w:highlight w:val="none"/>
        </w:rPr>
      </w:pPr>
      <w:r>
        <w:rPr>
          <w:rFonts w:eastAsiaTheme="minorEastAsia"/>
          <w:highlight w:val="none"/>
        </w:rPr>
        <w:t>九、联系方式</w:t>
      </w:r>
    </w:p>
    <w:p w14:paraId="04E8048A">
      <w:pPr>
        <w:spacing w:line="400" w:lineRule="exact"/>
        <w:ind w:firstLine="420" w:firstLineChars="200"/>
        <w:rPr>
          <w:rFonts w:eastAsiaTheme="minorEastAsia"/>
          <w:highlight w:val="none"/>
        </w:rPr>
      </w:pPr>
      <w:r>
        <w:rPr>
          <w:rFonts w:eastAsiaTheme="minorEastAsia"/>
          <w:highlight w:val="none"/>
        </w:rPr>
        <w:t>采购人：桂林银行股份有限公司</w:t>
      </w:r>
    </w:p>
    <w:p w14:paraId="317FE1EB">
      <w:pPr>
        <w:spacing w:line="400" w:lineRule="exact"/>
        <w:ind w:firstLine="420" w:firstLineChars="200"/>
        <w:rPr>
          <w:rFonts w:eastAsiaTheme="minorEastAsia"/>
          <w:highlight w:val="none"/>
        </w:rPr>
      </w:pPr>
      <w:r>
        <w:rPr>
          <w:rFonts w:eastAsiaTheme="minorEastAsia"/>
          <w:highlight w:val="none"/>
        </w:rPr>
        <w:t>联 系 人：李经理</w:t>
      </w:r>
    </w:p>
    <w:p w14:paraId="56FC359A">
      <w:pPr>
        <w:spacing w:line="400" w:lineRule="exact"/>
        <w:ind w:firstLine="420" w:firstLineChars="200"/>
        <w:rPr>
          <w:rFonts w:eastAsiaTheme="minorEastAsia"/>
          <w:highlight w:val="none"/>
        </w:rPr>
      </w:pPr>
      <w:r>
        <w:rPr>
          <w:rFonts w:eastAsiaTheme="minorEastAsia"/>
          <w:highlight w:val="none"/>
        </w:rPr>
        <w:t>联系电话：0773-5592002</w:t>
      </w:r>
    </w:p>
    <w:p w14:paraId="52F07A3F">
      <w:pPr>
        <w:spacing w:line="400" w:lineRule="exact"/>
        <w:ind w:firstLine="420" w:firstLineChars="200"/>
        <w:rPr>
          <w:rFonts w:eastAsiaTheme="minorEastAsia"/>
          <w:highlight w:val="none"/>
        </w:rPr>
      </w:pPr>
      <w:r>
        <w:rPr>
          <w:rFonts w:eastAsiaTheme="minorEastAsia"/>
          <w:highlight w:val="none"/>
        </w:rPr>
        <w:t>地址：广西桂林市临桂区公园北路8号桂林金融大厦A附楼三楼</w:t>
      </w:r>
    </w:p>
    <w:p w14:paraId="5DD3295D">
      <w:pPr>
        <w:spacing w:line="400" w:lineRule="exact"/>
        <w:ind w:firstLine="420" w:firstLineChars="200"/>
        <w:rPr>
          <w:rFonts w:eastAsiaTheme="minorEastAsia"/>
          <w:highlight w:val="none"/>
        </w:rPr>
      </w:pPr>
      <w:r>
        <w:rPr>
          <w:rFonts w:eastAsiaTheme="minorEastAsia"/>
          <w:highlight w:val="none"/>
        </w:rPr>
        <w:t>电子邮箱：jiczx@guilinbank.com.cn</w:t>
      </w:r>
    </w:p>
    <w:p w14:paraId="29D956E9">
      <w:pPr>
        <w:spacing w:line="400" w:lineRule="exact"/>
        <w:ind w:firstLine="420" w:firstLineChars="200"/>
        <w:rPr>
          <w:rFonts w:eastAsiaTheme="minorEastAsia"/>
          <w:bCs/>
          <w:highlight w:val="none"/>
        </w:rPr>
      </w:pPr>
      <w:r>
        <w:rPr>
          <w:rFonts w:eastAsiaTheme="minorEastAsia"/>
          <w:highlight w:val="none"/>
        </w:rPr>
        <w:t>咨询时间：工作日上午</w:t>
      </w:r>
      <w:r>
        <w:rPr>
          <w:rFonts w:eastAsiaTheme="minorEastAsia"/>
          <w:bCs/>
          <w:highlight w:val="none"/>
        </w:rPr>
        <w:t>8:30-12:00，下午14:30-17:30</w:t>
      </w:r>
    </w:p>
    <w:p w14:paraId="24C00D17">
      <w:pPr>
        <w:pStyle w:val="4"/>
        <w:spacing w:after="0" w:line="400" w:lineRule="exact"/>
        <w:ind w:firstLine="420" w:firstLineChars="200"/>
        <w:rPr>
          <w:rFonts w:eastAsiaTheme="minorEastAsia"/>
          <w:kern w:val="0"/>
          <w:highlight w:val="none"/>
        </w:rPr>
      </w:pPr>
      <w:r>
        <w:rPr>
          <w:rFonts w:eastAsiaTheme="minorEastAsia"/>
          <w:highlight w:val="none"/>
        </w:rPr>
        <w:t>十、公告网站：</w:t>
      </w:r>
      <w:r>
        <w:rPr>
          <w:rFonts w:eastAsiaTheme="minorEastAsia"/>
          <w:kern w:val="0"/>
          <w:highlight w:val="none"/>
        </w:rPr>
        <w:t>桂林银行股份有限公司官网https://www.guilinbank.com.cn/</w:t>
      </w:r>
      <w:r>
        <w:rPr>
          <w:rFonts w:hint="eastAsia" w:eastAsiaTheme="minorEastAsia"/>
          <w:kern w:val="0"/>
          <w:highlight w:val="none"/>
        </w:rPr>
        <w:t>，</w:t>
      </w:r>
      <w:r>
        <w:rPr>
          <w:rFonts w:eastAsiaTheme="minorEastAsia"/>
          <w:kern w:val="0"/>
          <w:highlight w:val="none"/>
        </w:rPr>
        <w:t>广西阳光采购服务平台https://ygcgxz.bbwcq.com/#/index</w:t>
      </w:r>
    </w:p>
    <w:p w14:paraId="0FBA355A">
      <w:pPr>
        <w:spacing w:line="400" w:lineRule="exact"/>
        <w:ind w:firstLine="420" w:firstLineChars="200"/>
        <w:rPr>
          <w:rFonts w:eastAsiaTheme="minorEastAsia"/>
          <w:highlight w:val="none"/>
        </w:rPr>
      </w:pPr>
    </w:p>
    <w:p w14:paraId="1652D0B6">
      <w:pPr>
        <w:pStyle w:val="4"/>
        <w:spacing w:after="0" w:line="400" w:lineRule="exact"/>
        <w:ind w:firstLine="420" w:firstLineChars="200"/>
        <w:rPr>
          <w:rFonts w:eastAsiaTheme="minorEastAsia"/>
          <w:highlight w:val="none"/>
        </w:rPr>
      </w:pPr>
    </w:p>
    <w:p w14:paraId="67808517">
      <w:pPr>
        <w:wordWrap w:val="0"/>
        <w:spacing w:line="400" w:lineRule="exact"/>
        <w:ind w:firstLine="420" w:firstLineChars="200"/>
        <w:jc w:val="right"/>
        <w:rPr>
          <w:rFonts w:hint="eastAsia" w:eastAsiaTheme="minorEastAsia"/>
          <w:highlight w:val="none"/>
          <w:lang w:val="en-US" w:eastAsia="zh-CN"/>
        </w:rPr>
      </w:pPr>
      <w:r>
        <w:rPr>
          <w:rFonts w:eastAsiaTheme="minorEastAsia"/>
          <w:highlight w:val="none"/>
        </w:rPr>
        <w:t>桂林银行股份有限公司</w:t>
      </w:r>
      <w:r>
        <w:rPr>
          <w:rFonts w:hint="eastAsia" w:eastAsiaTheme="minorEastAsia"/>
          <w:highlight w:val="none"/>
          <w:lang w:val="en-US" w:eastAsia="zh-CN"/>
        </w:rPr>
        <w:t xml:space="preserve"> </w:t>
      </w:r>
    </w:p>
    <w:p w14:paraId="010779E4">
      <w:pPr>
        <w:pStyle w:val="4"/>
        <w:wordWrap w:val="0"/>
        <w:spacing w:after="0" w:line="400" w:lineRule="exact"/>
        <w:jc w:val="right"/>
        <w:rPr>
          <w:rFonts w:eastAsiaTheme="minorEastAsia"/>
          <w:bCs/>
          <w:spacing w:val="-8"/>
          <w:highlight w:val="none"/>
        </w:rPr>
      </w:pPr>
      <w:r>
        <w:rPr>
          <w:rFonts w:eastAsiaTheme="minorEastAsia"/>
          <w:bCs/>
          <w:spacing w:val="-8"/>
          <w:highlight w:val="none"/>
        </w:rPr>
        <w:t>202</w:t>
      </w:r>
      <w:r>
        <w:rPr>
          <w:rFonts w:hint="eastAsia" w:eastAsiaTheme="minorEastAsia"/>
          <w:bCs/>
          <w:spacing w:val="-8"/>
          <w:highlight w:val="none"/>
        </w:rPr>
        <w:t>5</w:t>
      </w:r>
      <w:r>
        <w:rPr>
          <w:rFonts w:eastAsiaTheme="minorEastAsia"/>
          <w:bCs/>
          <w:spacing w:val="-8"/>
          <w:highlight w:val="none"/>
        </w:rPr>
        <w:t>年</w:t>
      </w:r>
      <w:r>
        <w:rPr>
          <w:rFonts w:hint="eastAsia" w:eastAsiaTheme="minorEastAsia"/>
          <w:bCs/>
          <w:spacing w:val="-8"/>
          <w:highlight w:val="none"/>
          <w:lang w:val="en-US" w:eastAsia="zh-CN"/>
        </w:rPr>
        <w:t>11</w:t>
      </w:r>
      <w:r>
        <w:rPr>
          <w:rFonts w:eastAsiaTheme="minorEastAsia"/>
          <w:bCs/>
          <w:spacing w:val="-8"/>
          <w:highlight w:val="none"/>
        </w:rPr>
        <w:t>月</w:t>
      </w:r>
      <w:r>
        <w:rPr>
          <w:rFonts w:hint="eastAsia" w:eastAsiaTheme="minorEastAsia"/>
          <w:bCs/>
          <w:spacing w:val="-8"/>
          <w:highlight w:val="none"/>
          <w:lang w:val="en-US" w:eastAsia="zh-CN"/>
        </w:rPr>
        <w:t>2</w:t>
      </w:r>
      <w:r>
        <w:rPr>
          <w:rFonts w:eastAsiaTheme="minorEastAsia"/>
          <w:bCs/>
          <w:spacing w:val="-8"/>
          <w:highlight w:val="none"/>
        </w:rPr>
        <w:t>日</w:t>
      </w:r>
      <w:r>
        <w:rPr>
          <w:rFonts w:hint="eastAsia" w:eastAsiaTheme="minorEastAsia"/>
          <w:bCs/>
          <w:spacing w:val="-8"/>
          <w:highlight w:val="none"/>
        </w:rPr>
        <w:t xml:space="preserve">      </w:t>
      </w:r>
    </w:p>
    <w:p w14:paraId="135B249E">
      <w:pPr>
        <w:pStyle w:val="4"/>
        <w:spacing w:after="0" w:line="400" w:lineRule="exact"/>
        <w:jc w:val="right"/>
        <w:rPr>
          <w:rFonts w:eastAsiaTheme="minorEastAsia"/>
          <w:bCs/>
          <w:spacing w:val="-8"/>
          <w:highlight w:val="none"/>
        </w:rPr>
      </w:pPr>
    </w:p>
    <w:p w14:paraId="3F474F18">
      <w:pPr>
        <w:pStyle w:val="4"/>
        <w:spacing w:after="0" w:line="400" w:lineRule="exact"/>
        <w:jc w:val="right"/>
        <w:rPr>
          <w:rFonts w:eastAsiaTheme="minorEastAsia"/>
          <w:bCs/>
          <w:spacing w:val="-8"/>
          <w:highlight w:val="none"/>
        </w:rPr>
      </w:pPr>
    </w:p>
    <w:p w14:paraId="57A2FCE9">
      <w:pPr>
        <w:pStyle w:val="4"/>
        <w:spacing w:after="0" w:line="400" w:lineRule="exact"/>
        <w:jc w:val="right"/>
        <w:rPr>
          <w:rFonts w:eastAsiaTheme="minorEastAsia"/>
          <w:bCs/>
          <w:spacing w:val="-8"/>
          <w:highlight w:val="none"/>
        </w:rPr>
      </w:pPr>
    </w:p>
    <w:p w14:paraId="2785B50E">
      <w:pPr>
        <w:pStyle w:val="4"/>
        <w:spacing w:after="0" w:line="400" w:lineRule="exact"/>
        <w:jc w:val="right"/>
        <w:rPr>
          <w:rFonts w:eastAsiaTheme="minorEastAsia"/>
          <w:bCs/>
          <w:spacing w:val="-8"/>
          <w:highlight w:val="none"/>
        </w:rPr>
      </w:pPr>
    </w:p>
    <w:p w14:paraId="06659B9D">
      <w:pPr>
        <w:pStyle w:val="4"/>
        <w:spacing w:after="0" w:line="400" w:lineRule="exact"/>
        <w:jc w:val="right"/>
        <w:rPr>
          <w:rFonts w:eastAsiaTheme="minorEastAsia"/>
          <w:bCs/>
          <w:spacing w:val="-8"/>
          <w:highlight w:val="none"/>
        </w:rPr>
      </w:pPr>
    </w:p>
    <w:p w14:paraId="38B2C0D0">
      <w:pPr>
        <w:widowControl/>
        <w:spacing w:line="640" w:lineRule="exact"/>
        <w:jc w:val="center"/>
        <w:rPr>
          <w:rFonts w:ascii="小标宋" w:hAnsi="小标宋" w:eastAsia="小标宋" w:cs="小标宋"/>
          <w:kern w:val="44"/>
          <w:sz w:val="44"/>
          <w:szCs w:val="44"/>
          <w:highlight w:val="none"/>
        </w:rPr>
        <w:sectPr>
          <w:pgSz w:w="11905" w:h="16838"/>
          <w:pgMar w:top="1417" w:right="1361" w:bottom="1417" w:left="1361" w:header="850" w:footer="992" w:gutter="0"/>
          <w:cols w:space="720" w:num="1"/>
          <w:docGrid w:type="lines" w:linePitch="312" w:charSpace="0"/>
        </w:sectPr>
      </w:pPr>
    </w:p>
    <w:p w14:paraId="29F7C9D6">
      <w:pPr>
        <w:rPr>
          <w:sz w:val="28"/>
          <w:szCs w:val="28"/>
          <w:highlight w:val="none"/>
        </w:rPr>
      </w:pPr>
      <w:bookmarkStart w:id="49" w:name="_Toc31903"/>
      <w:bookmarkStart w:id="50" w:name="_Toc7443"/>
      <w:bookmarkStart w:id="51" w:name="_Toc31118"/>
      <w:bookmarkStart w:id="52" w:name="_Toc17506"/>
      <w:bookmarkStart w:id="53" w:name="_Toc2774"/>
      <w:bookmarkStart w:id="54" w:name="_Toc13004"/>
      <w:bookmarkStart w:id="55" w:name="_Toc9951096"/>
      <w:bookmarkStart w:id="56" w:name="_Toc13572"/>
      <w:bookmarkStart w:id="57" w:name="_Toc449"/>
      <w:bookmarkStart w:id="58" w:name="_Toc10441"/>
      <w:bookmarkStart w:id="59" w:name="_Toc32609"/>
      <w:bookmarkStart w:id="60" w:name="_Toc15745"/>
      <w:bookmarkStart w:id="61" w:name="_Toc28229"/>
      <w:bookmarkStart w:id="62" w:name="_Toc13165"/>
      <w:bookmarkStart w:id="63" w:name="_Toc113"/>
      <w:bookmarkStart w:id="64" w:name="_Toc18082"/>
      <w:bookmarkStart w:id="65" w:name="_Toc14293"/>
      <w:bookmarkStart w:id="66" w:name="_Toc14736"/>
      <w:bookmarkStart w:id="67" w:name="_Toc18462"/>
      <w:bookmarkStart w:id="68" w:name="_Toc6211"/>
      <w:bookmarkStart w:id="69" w:name="_Toc29735"/>
      <w:bookmarkStart w:id="70" w:name="_Toc14095"/>
      <w:bookmarkStart w:id="71" w:name="_Toc9242"/>
      <w:bookmarkStart w:id="72" w:name="_Toc26607"/>
      <w:bookmarkStart w:id="73" w:name="_Toc31877"/>
      <w:bookmarkStart w:id="74" w:name="_Toc23696"/>
      <w:bookmarkStart w:id="75" w:name="_Toc6678"/>
      <w:bookmarkStart w:id="76" w:name="_Toc868"/>
      <w:bookmarkStart w:id="77" w:name="_Toc9759"/>
      <w:bookmarkStart w:id="78" w:name="_Toc10130"/>
      <w:bookmarkStart w:id="79" w:name="_Toc15383"/>
      <w:bookmarkStart w:id="80" w:name="_Toc8040"/>
      <w:bookmarkStart w:id="81" w:name="_Toc30110"/>
      <w:bookmarkStart w:id="82" w:name="_Toc19486"/>
      <w:bookmarkStart w:id="83" w:name="_Toc30881"/>
      <w:bookmarkStart w:id="84" w:name="_Toc3384"/>
      <w:bookmarkStart w:id="85" w:name="_Toc12230"/>
      <w:bookmarkStart w:id="86" w:name="_Toc25406"/>
      <w:bookmarkStart w:id="87" w:name="_Toc2214"/>
      <w:bookmarkStart w:id="88" w:name="_Toc10162"/>
      <w:bookmarkStart w:id="89" w:name="_Toc3189"/>
      <w:bookmarkStart w:id="90" w:name="_Toc10483"/>
      <w:bookmarkStart w:id="91" w:name="_Toc12631"/>
      <w:bookmarkStart w:id="92" w:name="_Toc22237"/>
      <w:bookmarkStart w:id="93" w:name="_Toc12908"/>
      <w:bookmarkStart w:id="94" w:name="_Toc4282"/>
      <w:r>
        <w:rPr>
          <w:rFonts w:hint="eastAsia"/>
          <w:sz w:val="28"/>
          <w:szCs w:val="28"/>
          <w:highlight w:val="none"/>
          <w:lang w:val="en"/>
        </w:rPr>
        <w:t>附件：</w:t>
      </w:r>
      <w:r>
        <w:rPr>
          <w:rFonts w:hint="eastAsia"/>
          <w:sz w:val="28"/>
          <w:szCs w:val="28"/>
          <w:highlight w:val="none"/>
        </w:rPr>
        <w:t>报名材料格式</w:t>
      </w:r>
    </w:p>
    <w:p w14:paraId="39452349">
      <w:pPr>
        <w:rPr>
          <w:sz w:val="28"/>
          <w:szCs w:val="28"/>
          <w:highlight w:val="none"/>
        </w:rPr>
      </w:pPr>
      <w:r>
        <w:rPr>
          <w:rFonts w:hint="eastAsia"/>
          <w:sz w:val="28"/>
          <w:szCs w:val="28"/>
          <w:highlight w:val="none"/>
        </w:rPr>
        <w:t>①主体资格证明（如营业执照、事业单位法人证书、执业许可证等）；</w:t>
      </w:r>
    </w:p>
    <w:p w14:paraId="17B00586">
      <w:pPr>
        <w:rPr>
          <w:sz w:val="28"/>
          <w:szCs w:val="28"/>
          <w:highlight w:val="none"/>
        </w:rPr>
      </w:pPr>
    </w:p>
    <w:p w14:paraId="4DE30FBD">
      <w:pPr>
        <w:rPr>
          <w:sz w:val="28"/>
          <w:szCs w:val="28"/>
          <w:highlight w:val="none"/>
        </w:rPr>
      </w:pPr>
    </w:p>
    <w:p w14:paraId="434557C9">
      <w:pPr>
        <w:rPr>
          <w:sz w:val="28"/>
          <w:szCs w:val="28"/>
          <w:highlight w:val="none"/>
        </w:rPr>
      </w:pPr>
      <w:r>
        <w:rPr>
          <w:rFonts w:hint="eastAsia"/>
          <w:sz w:val="28"/>
          <w:szCs w:val="28"/>
          <w:highlight w:val="none"/>
        </w:rPr>
        <w:t>②法定代表人（负责人）及委托代理人身份证；</w:t>
      </w:r>
    </w:p>
    <w:p w14:paraId="2B922A9E">
      <w:pPr>
        <w:rPr>
          <w:sz w:val="28"/>
          <w:szCs w:val="28"/>
          <w:highlight w:val="none"/>
        </w:rPr>
      </w:pPr>
    </w:p>
    <w:p w14:paraId="11373D5F">
      <w:pPr>
        <w:rPr>
          <w:sz w:val="28"/>
          <w:szCs w:val="28"/>
          <w:highlight w:val="none"/>
        </w:rPr>
      </w:pPr>
    </w:p>
    <w:p w14:paraId="1A2B9F5F">
      <w:pPr>
        <w:rPr>
          <w:sz w:val="28"/>
          <w:szCs w:val="28"/>
          <w:highlight w:val="none"/>
        </w:rPr>
      </w:pPr>
      <w:r>
        <w:rPr>
          <w:rFonts w:hint="eastAsia"/>
          <w:sz w:val="28"/>
          <w:szCs w:val="28"/>
          <w:highlight w:val="none"/>
        </w:rPr>
        <w:t>③法定代表人（负责人）授权书（须注明项目名称、项目编号）。</w:t>
      </w:r>
    </w:p>
    <w:p w14:paraId="3491FF89">
      <w:pPr>
        <w:spacing w:line="640" w:lineRule="exact"/>
        <w:jc w:val="center"/>
        <w:rPr>
          <w:rFonts w:ascii="小标宋" w:hAnsi="小标宋" w:eastAsia="小标宋" w:cs="小标宋"/>
          <w:sz w:val="44"/>
          <w:szCs w:val="44"/>
          <w:highlight w:val="none"/>
        </w:rPr>
      </w:pPr>
    </w:p>
    <w:p w14:paraId="0C880E06">
      <w:pPr>
        <w:spacing w:line="640" w:lineRule="exact"/>
        <w:jc w:val="center"/>
        <w:rPr>
          <w:rFonts w:ascii="小标宋" w:hAnsi="小标宋" w:eastAsia="小标宋" w:cs="小标宋"/>
          <w:sz w:val="44"/>
          <w:szCs w:val="44"/>
          <w:highlight w:val="none"/>
        </w:rPr>
      </w:pPr>
      <w:r>
        <w:rPr>
          <w:rFonts w:hint="eastAsia" w:ascii="小标宋" w:hAnsi="小标宋" w:eastAsia="小标宋" w:cs="小标宋"/>
          <w:sz w:val="44"/>
          <w:szCs w:val="44"/>
          <w:highlight w:val="none"/>
        </w:rPr>
        <w:t>授权委托书</w:t>
      </w:r>
    </w:p>
    <w:p w14:paraId="2F2CDDFD">
      <w:pPr>
        <w:spacing w:line="586" w:lineRule="exact"/>
        <w:ind w:firstLine="640" w:firstLineChars="200"/>
        <w:rPr>
          <w:rFonts w:ascii="仿宋_GB2312" w:hAnsi="仿宋_GB2312" w:eastAsia="仿宋_GB2312" w:cs="仿宋_GB2312"/>
          <w:kern w:val="0"/>
          <w:sz w:val="32"/>
          <w:szCs w:val="32"/>
          <w:highlight w:val="none"/>
        </w:rPr>
      </w:pPr>
    </w:p>
    <w:p w14:paraId="00543125">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本人</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（姓名）系</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w:t>
      </w:r>
      <w:r>
        <w:rPr>
          <w:rFonts w:hint="eastAsia" w:ascii="仿宋_GB2312" w:hAnsi="仿宋_GB2312" w:eastAsia="仿宋_GB2312" w:cs="仿宋_GB2312"/>
          <w:spacing w:val="-1"/>
          <w:kern w:val="0"/>
          <w:sz w:val="32"/>
          <w:szCs w:val="32"/>
          <w:highlight w:val="none"/>
        </w:rPr>
        <w:t>供应商</w:t>
      </w:r>
      <w:r>
        <w:rPr>
          <w:rFonts w:hint="eastAsia" w:ascii="仿宋_GB2312" w:hAnsi="仿宋_GB2312" w:eastAsia="仿宋_GB2312" w:cs="仿宋_GB2312"/>
          <w:kern w:val="0"/>
          <w:sz w:val="32"/>
          <w:szCs w:val="32"/>
          <w:highlight w:val="none"/>
        </w:rPr>
        <w:t>名称</w:t>
      </w:r>
      <w:r>
        <w:rPr>
          <w:rFonts w:hint="eastAsia" w:ascii="仿宋_GB2312" w:hAnsi="仿宋_GB2312" w:eastAsia="仿宋_GB2312" w:cs="仿宋_GB2312"/>
          <w:spacing w:val="1"/>
          <w:kern w:val="0"/>
          <w:sz w:val="32"/>
          <w:szCs w:val="32"/>
          <w:highlight w:val="none"/>
        </w:rPr>
        <w:t>）</w:t>
      </w:r>
      <w:r>
        <w:rPr>
          <w:rFonts w:hint="eastAsia" w:ascii="仿宋_GB2312" w:hAnsi="仿宋_GB2312" w:eastAsia="仿宋_GB2312" w:cs="仿宋_GB2312"/>
          <w:kern w:val="0"/>
          <w:sz w:val="32"/>
          <w:szCs w:val="32"/>
          <w:highlight w:val="none"/>
        </w:rPr>
        <w:t>的法定代</w:t>
      </w:r>
      <w:r>
        <w:rPr>
          <w:rFonts w:hint="eastAsia" w:ascii="仿宋_GB2312" w:hAnsi="仿宋_GB2312" w:eastAsia="仿宋_GB2312" w:cs="仿宋_GB2312"/>
          <w:spacing w:val="1"/>
          <w:kern w:val="0"/>
          <w:sz w:val="32"/>
          <w:szCs w:val="32"/>
          <w:highlight w:val="none"/>
        </w:rPr>
        <w:t>表</w:t>
      </w:r>
      <w:r>
        <w:rPr>
          <w:rFonts w:hint="eastAsia" w:ascii="仿宋_GB2312" w:hAnsi="仿宋_GB2312" w:eastAsia="仿宋_GB2312" w:cs="仿宋_GB2312"/>
          <w:kern w:val="0"/>
          <w:sz w:val="32"/>
          <w:szCs w:val="32"/>
          <w:highlight w:val="none"/>
        </w:rPr>
        <w:t>人，现委托</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（姓 名）为我方代理人以本单位名义参加</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u w:val="single"/>
        </w:rPr>
        <w:t>（项</w:t>
      </w:r>
      <w:r>
        <w:rPr>
          <w:rFonts w:hint="eastAsia" w:ascii="仿宋_GB2312" w:hAnsi="仿宋_GB2312" w:eastAsia="仿宋_GB2312" w:cs="仿宋_GB2312"/>
          <w:spacing w:val="-1"/>
          <w:kern w:val="0"/>
          <w:sz w:val="32"/>
          <w:szCs w:val="32"/>
          <w:highlight w:val="none"/>
          <w:u w:val="single"/>
        </w:rPr>
        <w:t>目</w:t>
      </w:r>
      <w:r>
        <w:rPr>
          <w:rFonts w:hint="eastAsia" w:ascii="仿宋_GB2312" w:hAnsi="仿宋_GB2312" w:eastAsia="仿宋_GB2312" w:cs="仿宋_GB2312"/>
          <w:kern w:val="0"/>
          <w:sz w:val="32"/>
          <w:szCs w:val="32"/>
          <w:highlight w:val="none"/>
          <w:u w:val="single"/>
        </w:rPr>
        <w:t xml:space="preserve">名称、项目编号）  </w:t>
      </w:r>
      <w:r>
        <w:rPr>
          <w:rFonts w:hint="eastAsia" w:ascii="仿宋_GB2312" w:hAnsi="仿宋_GB2312" w:eastAsia="仿宋_GB2312" w:cs="仿宋_GB2312"/>
          <w:kern w:val="0"/>
          <w:sz w:val="32"/>
          <w:szCs w:val="32"/>
          <w:highlight w:val="none"/>
        </w:rPr>
        <w:t>的报名活动。代理人在过程中所签署的一切文件和处理与之有关的一切事务，我均予以确认。</w:t>
      </w:r>
    </w:p>
    <w:p w14:paraId="5C489A53">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 xml:space="preserve">代理人无转委托权。 </w:t>
      </w:r>
    </w:p>
    <w:p w14:paraId="6FBF19A3">
      <w:pPr>
        <w:spacing w:line="586" w:lineRule="exact"/>
        <w:ind w:firstLine="640" w:firstLineChars="200"/>
        <w:rPr>
          <w:rFonts w:ascii="仿宋_GB2312" w:hAnsi="仿宋_GB2312" w:eastAsia="仿宋_GB2312" w:cs="仿宋_GB2312"/>
          <w:kern w:val="0"/>
          <w:sz w:val="32"/>
          <w:szCs w:val="32"/>
          <w:highlight w:val="none"/>
        </w:rPr>
      </w:pPr>
    </w:p>
    <w:p w14:paraId="3C5E5898">
      <w:pPr>
        <w:spacing w:line="586" w:lineRule="exact"/>
        <w:ind w:firstLine="640" w:firstLineChars="200"/>
        <w:rPr>
          <w:rFonts w:ascii="仿宋_GB2312" w:hAnsi="仿宋_GB2312" w:eastAsia="仿宋_GB2312" w:cs="仿宋_GB2312"/>
          <w:kern w:val="0"/>
          <w:sz w:val="32"/>
          <w:szCs w:val="32"/>
          <w:highlight w:val="none"/>
        </w:rPr>
      </w:pPr>
    </w:p>
    <w:p w14:paraId="3F4C3CD0">
      <w:pPr>
        <w:spacing w:line="586" w:lineRule="exact"/>
        <w:ind w:firstLine="3520" w:firstLineChars="11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供应商（</w:t>
      </w:r>
      <w:r>
        <w:rPr>
          <w:rFonts w:hint="eastAsia" w:ascii="仿宋_GB2312" w:hAnsi="仿宋_GB2312" w:eastAsia="仿宋_GB2312" w:cs="仿宋_GB2312"/>
          <w:spacing w:val="-1"/>
          <w:kern w:val="0"/>
          <w:sz w:val="32"/>
          <w:szCs w:val="32"/>
          <w:highlight w:val="none"/>
        </w:rPr>
        <w:t>盖</w:t>
      </w:r>
      <w:r>
        <w:rPr>
          <w:rFonts w:hint="eastAsia" w:ascii="仿宋_GB2312" w:hAnsi="仿宋_GB2312" w:eastAsia="仿宋_GB2312" w:cs="仿宋_GB2312"/>
          <w:kern w:val="0"/>
          <w:sz w:val="32"/>
          <w:szCs w:val="32"/>
          <w:highlight w:val="none"/>
        </w:rPr>
        <w:t xml:space="preserve">单位章）： </w:t>
      </w:r>
    </w:p>
    <w:p w14:paraId="4AF6E7A4">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法定代表人或授权委托人（签字或盖章）：</w:t>
      </w:r>
    </w:p>
    <w:p w14:paraId="2CACFF38">
      <w:pPr>
        <w:spacing w:line="586" w:lineRule="exact"/>
        <w:ind w:firstLine="640" w:firstLineChars="200"/>
        <w:jc w:val="right"/>
        <w:rPr>
          <w:rFonts w:ascii="仿宋_GB2312" w:hAnsi="仿宋_GB2312" w:eastAsia="仿宋_GB2312" w:cs="仿宋_GB2312"/>
          <w:sz w:val="32"/>
          <w:szCs w:val="32"/>
          <w:highlight w:val="none"/>
        </w:rPr>
      </w:pPr>
      <w:r>
        <w:rPr>
          <w:rFonts w:hint="eastAsia" w:ascii="仿宋_GB2312" w:hAnsi="仿宋_GB2312" w:eastAsia="仿宋_GB2312" w:cs="仿宋_GB2312"/>
          <w:kern w:val="0"/>
          <w:sz w:val="32"/>
          <w:szCs w:val="32"/>
          <w:highlight w:val="none"/>
        </w:rPr>
        <w:t>年</w:t>
      </w:r>
      <w:r>
        <w:rPr>
          <w:rFonts w:hint="eastAsia" w:ascii="仿宋_GB2312" w:hAnsi="仿宋_GB2312" w:eastAsia="仿宋_GB2312" w:cs="仿宋_GB2312"/>
          <w:w w:val="200"/>
          <w:kern w:val="0"/>
          <w:sz w:val="32"/>
          <w:szCs w:val="32"/>
          <w:highlight w:val="none"/>
        </w:rPr>
        <w:t xml:space="preserve">  </w:t>
      </w:r>
      <w:r>
        <w:rPr>
          <w:rFonts w:hint="eastAsia" w:ascii="仿宋_GB2312" w:hAnsi="仿宋_GB2312" w:eastAsia="仿宋_GB2312" w:cs="仿宋_GB2312"/>
          <w:kern w:val="0"/>
          <w:sz w:val="32"/>
          <w:szCs w:val="32"/>
          <w:highlight w:val="none"/>
        </w:rPr>
        <w:t>月</w:t>
      </w:r>
      <w:r>
        <w:rPr>
          <w:rFonts w:hint="eastAsia" w:ascii="仿宋_GB2312" w:hAnsi="仿宋_GB2312" w:eastAsia="仿宋_GB2312" w:cs="仿宋_GB2312"/>
          <w:w w:val="200"/>
          <w:kern w:val="0"/>
          <w:sz w:val="32"/>
          <w:szCs w:val="32"/>
          <w:highlight w:val="none"/>
        </w:rPr>
        <w:t xml:space="preserve">  </w:t>
      </w:r>
      <w:r>
        <w:rPr>
          <w:rFonts w:hint="eastAsia" w:ascii="仿宋_GB2312" w:hAnsi="仿宋_GB2312" w:eastAsia="仿宋_GB2312" w:cs="仿宋_GB2312"/>
          <w:kern w:val="0"/>
          <w:sz w:val="32"/>
          <w:szCs w:val="32"/>
          <w:highlight w:val="none"/>
        </w:rPr>
        <w:t>日</w:t>
      </w:r>
    </w:p>
    <w:p w14:paraId="0A8B0C6A">
      <w:pPr>
        <w:rPr>
          <w:sz w:val="28"/>
          <w:szCs w:val="28"/>
          <w:highlight w:val="none"/>
        </w:rPr>
      </w:pPr>
    </w:p>
    <w:p w14:paraId="30DD8ACD">
      <w:pPr>
        <w:rPr>
          <w:rFonts w:hint="default" w:eastAsia="宋体"/>
          <w:sz w:val="28"/>
          <w:szCs w:val="28"/>
          <w:highlight w:val="none"/>
          <w:lang w:val="en-US" w:eastAsia="zh-CN"/>
        </w:rPr>
        <w:sectPr>
          <w:headerReference r:id="rId4" w:type="default"/>
          <w:footerReference r:id="rId5" w:type="default"/>
          <w:pgSz w:w="11905" w:h="16838"/>
          <w:pgMar w:top="1417" w:right="1361" w:bottom="1417" w:left="1361" w:header="850" w:footer="992" w:gutter="0"/>
          <w:cols w:space="0" w:num="1"/>
          <w:docGrid w:type="lines" w:linePitch="312" w:charSpace="0"/>
        </w:sectPr>
      </w:pPr>
      <w:r>
        <w:rPr>
          <w:rFonts w:hint="eastAsia"/>
          <w:sz w:val="28"/>
          <w:szCs w:val="28"/>
          <w:highlight w:val="none"/>
          <w:lang w:val="en-US" w:eastAsia="zh-CN"/>
        </w:rPr>
        <w:t>联系方式：</w:t>
      </w:r>
    </w:p>
    <w:p w14:paraId="6976D36B">
      <w:pPr>
        <w:pStyle w:val="40"/>
        <w:rPr>
          <w:rFonts w:ascii="Times New Roman" w:hAnsi="Times New Roman"/>
          <w:highlight w:val="none"/>
        </w:rPr>
      </w:pPr>
      <w:bookmarkStart w:id="95" w:name="_Toc2408"/>
      <w:bookmarkStart w:id="96" w:name="_Toc27196"/>
      <w:bookmarkStart w:id="97" w:name="_Toc31110"/>
      <w:r>
        <w:rPr>
          <w:rFonts w:ascii="Times New Roman" w:hAnsi="Times New Roman"/>
          <w:highlight w:val="none"/>
        </w:rPr>
        <w:t>第二章  投标人须知</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1C4A716A">
      <w:pPr>
        <w:tabs>
          <w:tab w:val="left" w:pos="1305"/>
        </w:tabs>
        <w:spacing w:line="400" w:lineRule="exact"/>
        <w:rPr>
          <w:b/>
          <w:bCs/>
          <w:sz w:val="28"/>
          <w:szCs w:val="28"/>
          <w:highlight w:val="none"/>
        </w:rPr>
      </w:pPr>
    </w:p>
    <w:tbl>
      <w:tblPr>
        <w:tblStyle w:val="42"/>
        <w:tblW w:w="9649"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765"/>
        <w:gridCol w:w="6863"/>
      </w:tblGrid>
      <w:tr w14:paraId="1B94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dxa"/>
            <w:vAlign w:val="center"/>
          </w:tcPr>
          <w:p w14:paraId="0870971D">
            <w:pPr>
              <w:spacing w:line="400" w:lineRule="exact"/>
              <w:jc w:val="center"/>
              <w:rPr>
                <w:rFonts w:eastAsiaTheme="minorEastAsia"/>
                <w:highlight w:val="none"/>
              </w:rPr>
            </w:pPr>
            <w:r>
              <w:rPr>
                <w:rFonts w:eastAsiaTheme="minorEastAsia"/>
                <w:highlight w:val="none"/>
              </w:rPr>
              <w:t>序号</w:t>
            </w:r>
          </w:p>
        </w:tc>
        <w:tc>
          <w:tcPr>
            <w:tcW w:w="1765" w:type="dxa"/>
            <w:vAlign w:val="center"/>
          </w:tcPr>
          <w:p w14:paraId="13AE9C59">
            <w:pPr>
              <w:spacing w:line="400" w:lineRule="exact"/>
              <w:jc w:val="center"/>
              <w:rPr>
                <w:rFonts w:eastAsiaTheme="minorEastAsia"/>
                <w:highlight w:val="none"/>
              </w:rPr>
            </w:pPr>
            <w:r>
              <w:rPr>
                <w:rFonts w:eastAsiaTheme="minorEastAsia"/>
                <w:highlight w:val="none"/>
              </w:rPr>
              <w:t>条款名称</w:t>
            </w:r>
          </w:p>
        </w:tc>
        <w:tc>
          <w:tcPr>
            <w:tcW w:w="6863" w:type="dxa"/>
            <w:vAlign w:val="center"/>
          </w:tcPr>
          <w:p w14:paraId="5A66FBE3">
            <w:pPr>
              <w:spacing w:line="400" w:lineRule="exact"/>
              <w:jc w:val="center"/>
              <w:rPr>
                <w:rFonts w:eastAsiaTheme="minorEastAsia"/>
                <w:highlight w:val="none"/>
              </w:rPr>
            </w:pPr>
            <w:r>
              <w:rPr>
                <w:rFonts w:eastAsiaTheme="minorEastAsia"/>
                <w:highlight w:val="none"/>
              </w:rPr>
              <w:t>内容、要求</w:t>
            </w:r>
          </w:p>
        </w:tc>
      </w:tr>
      <w:tr w14:paraId="165E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2DC130F">
            <w:pPr>
              <w:spacing w:line="400" w:lineRule="exact"/>
              <w:jc w:val="center"/>
              <w:rPr>
                <w:rFonts w:eastAsiaTheme="minorEastAsia"/>
                <w:highlight w:val="none"/>
              </w:rPr>
            </w:pPr>
            <w:r>
              <w:rPr>
                <w:rFonts w:eastAsiaTheme="minorEastAsia"/>
                <w:highlight w:val="none"/>
              </w:rPr>
              <w:t>1</w:t>
            </w:r>
          </w:p>
        </w:tc>
        <w:tc>
          <w:tcPr>
            <w:tcW w:w="1765" w:type="dxa"/>
            <w:vAlign w:val="center"/>
          </w:tcPr>
          <w:p w14:paraId="1AE9FF04">
            <w:pPr>
              <w:spacing w:line="400" w:lineRule="exact"/>
              <w:jc w:val="center"/>
              <w:rPr>
                <w:rFonts w:eastAsiaTheme="minorEastAsia"/>
                <w:highlight w:val="none"/>
              </w:rPr>
            </w:pPr>
            <w:r>
              <w:rPr>
                <w:rFonts w:eastAsiaTheme="minorEastAsia"/>
                <w:highlight w:val="none"/>
              </w:rPr>
              <w:t>项目名称</w:t>
            </w:r>
          </w:p>
        </w:tc>
        <w:tc>
          <w:tcPr>
            <w:tcW w:w="6863" w:type="dxa"/>
            <w:vAlign w:val="center"/>
          </w:tcPr>
          <w:p w14:paraId="72D6C6B8">
            <w:pPr>
              <w:spacing w:line="400" w:lineRule="exact"/>
              <w:rPr>
                <w:rFonts w:eastAsiaTheme="minorEastAsia"/>
                <w:bCs/>
                <w:highlight w:val="none"/>
              </w:rPr>
            </w:pPr>
            <w:r>
              <w:rPr>
                <w:rFonts w:hint="eastAsia" w:eastAsiaTheme="minorEastAsia"/>
                <w:b/>
                <w:bCs/>
                <w:highlight w:val="none"/>
              </w:rPr>
              <w:t>桂林银行采购大模型AI智能体开发项目</w:t>
            </w:r>
          </w:p>
        </w:tc>
      </w:tr>
      <w:tr w14:paraId="2E96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21" w:type="dxa"/>
            <w:vAlign w:val="center"/>
          </w:tcPr>
          <w:p w14:paraId="13E2315B">
            <w:pPr>
              <w:spacing w:line="400" w:lineRule="exact"/>
              <w:jc w:val="center"/>
              <w:rPr>
                <w:rFonts w:eastAsiaTheme="minorEastAsia"/>
                <w:highlight w:val="none"/>
              </w:rPr>
            </w:pPr>
            <w:r>
              <w:rPr>
                <w:rFonts w:eastAsiaTheme="minorEastAsia"/>
                <w:highlight w:val="none"/>
              </w:rPr>
              <w:t>2</w:t>
            </w:r>
          </w:p>
        </w:tc>
        <w:tc>
          <w:tcPr>
            <w:tcW w:w="1765" w:type="dxa"/>
            <w:vAlign w:val="center"/>
          </w:tcPr>
          <w:p w14:paraId="3C7D6921">
            <w:pPr>
              <w:spacing w:line="400" w:lineRule="exact"/>
              <w:jc w:val="center"/>
              <w:rPr>
                <w:rFonts w:eastAsiaTheme="minorEastAsia"/>
                <w:highlight w:val="none"/>
              </w:rPr>
            </w:pPr>
            <w:r>
              <w:rPr>
                <w:rFonts w:eastAsiaTheme="minorEastAsia"/>
                <w:highlight w:val="none"/>
              </w:rPr>
              <w:t>项目编号</w:t>
            </w:r>
          </w:p>
        </w:tc>
        <w:tc>
          <w:tcPr>
            <w:tcW w:w="6863" w:type="dxa"/>
            <w:vAlign w:val="center"/>
          </w:tcPr>
          <w:p w14:paraId="1C4CCF40">
            <w:pPr>
              <w:spacing w:line="400" w:lineRule="exact"/>
              <w:rPr>
                <w:rFonts w:hint="default" w:eastAsiaTheme="minorEastAsia"/>
                <w:highlight w:val="none"/>
                <w:lang w:val="en-US" w:eastAsia="zh-CN"/>
              </w:rPr>
            </w:pPr>
            <w:r>
              <w:rPr>
                <w:rFonts w:eastAsiaTheme="minorEastAsia"/>
                <w:b/>
                <w:bCs/>
                <w:highlight w:val="none"/>
              </w:rPr>
              <w:t>GYJC20251</w:t>
            </w:r>
            <w:r>
              <w:rPr>
                <w:rFonts w:hint="eastAsia" w:eastAsiaTheme="minorEastAsia"/>
                <w:b/>
                <w:bCs/>
                <w:highlight w:val="none"/>
                <w:lang w:val="en-US" w:eastAsia="zh-CN"/>
              </w:rPr>
              <w:t>14</w:t>
            </w:r>
          </w:p>
        </w:tc>
      </w:tr>
      <w:tr w14:paraId="0B1B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73AAC67">
            <w:pPr>
              <w:spacing w:line="400" w:lineRule="exact"/>
              <w:jc w:val="center"/>
              <w:rPr>
                <w:rFonts w:eastAsiaTheme="minorEastAsia"/>
                <w:highlight w:val="none"/>
              </w:rPr>
            </w:pPr>
            <w:r>
              <w:rPr>
                <w:rFonts w:eastAsiaTheme="minorEastAsia"/>
                <w:highlight w:val="none"/>
              </w:rPr>
              <w:t>3</w:t>
            </w:r>
          </w:p>
        </w:tc>
        <w:tc>
          <w:tcPr>
            <w:tcW w:w="1765" w:type="dxa"/>
            <w:vAlign w:val="center"/>
          </w:tcPr>
          <w:p w14:paraId="493C533F">
            <w:pPr>
              <w:spacing w:line="400" w:lineRule="exact"/>
              <w:jc w:val="center"/>
              <w:rPr>
                <w:rFonts w:eastAsiaTheme="minorEastAsia"/>
                <w:highlight w:val="none"/>
              </w:rPr>
            </w:pPr>
            <w:r>
              <w:rPr>
                <w:rFonts w:eastAsiaTheme="minorEastAsia"/>
                <w:highlight w:val="none"/>
              </w:rPr>
              <w:t>投标人资格</w:t>
            </w:r>
          </w:p>
        </w:tc>
        <w:tc>
          <w:tcPr>
            <w:tcW w:w="6863" w:type="dxa"/>
            <w:vAlign w:val="center"/>
          </w:tcPr>
          <w:p w14:paraId="25F39C7C">
            <w:pPr>
              <w:spacing w:line="400" w:lineRule="exact"/>
              <w:rPr>
                <w:rFonts w:eastAsiaTheme="minorEastAsia"/>
                <w:highlight w:val="none"/>
              </w:rPr>
            </w:pPr>
            <w:r>
              <w:rPr>
                <w:rFonts w:eastAsiaTheme="minorEastAsia"/>
                <w:highlight w:val="none"/>
              </w:rPr>
              <w:t>详见</w:t>
            </w:r>
            <w:r>
              <w:rPr>
                <w:rFonts w:hint="eastAsia" w:eastAsiaTheme="minorEastAsia"/>
                <w:highlight w:val="none"/>
              </w:rPr>
              <w:t>第一章竞争性磋商公告</w:t>
            </w:r>
          </w:p>
        </w:tc>
      </w:tr>
      <w:tr w14:paraId="1DE7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43C3185">
            <w:pPr>
              <w:spacing w:line="400" w:lineRule="exact"/>
              <w:jc w:val="center"/>
              <w:rPr>
                <w:rFonts w:eastAsiaTheme="minorEastAsia"/>
                <w:highlight w:val="none"/>
              </w:rPr>
            </w:pPr>
            <w:r>
              <w:rPr>
                <w:rFonts w:eastAsiaTheme="minorEastAsia"/>
                <w:highlight w:val="none"/>
              </w:rPr>
              <w:t>4</w:t>
            </w:r>
          </w:p>
        </w:tc>
        <w:tc>
          <w:tcPr>
            <w:tcW w:w="1765" w:type="dxa"/>
            <w:vAlign w:val="center"/>
          </w:tcPr>
          <w:p w14:paraId="2332A8D7">
            <w:pPr>
              <w:spacing w:line="400" w:lineRule="exact"/>
              <w:jc w:val="center"/>
              <w:rPr>
                <w:rFonts w:eastAsiaTheme="minorEastAsia"/>
                <w:highlight w:val="none"/>
              </w:rPr>
            </w:pPr>
            <w:r>
              <w:rPr>
                <w:rFonts w:eastAsiaTheme="minorEastAsia"/>
                <w:highlight w:val="none"/>
              </w:rPr>
              <w:t>磋商文件澄清、修改</w:t>
            </w:r>
          </w:p>
        </w:tc>
        <w:tc>
          <w:tcPr>
            <w:tcW w:w="6863" w:type="dxa"/>
          </w:tcPr>
          <w:p w14:paraId="31C02CCB">
            <w:pPr>
              <w:spacing w:line="400" w:lineRule="exact"/>
              <w:rPr>
                <w:rFonts w:eastAsiaTheme="minorEastAsia"/>
                <w:highlight w:val="none"/>
              </w:rPr>
            </w:pPr>
            <w:r>
              <w:rPr>
                <w:rFonts w:eastAsiaTheme="minorEastAsia"/>
                <w:highlight w:val="none"/>
              </w:rPr>
              <w:t>在磋商公告发布媒介上发布。</w:t>
            </w:r>
          </w:p>
          <w:p w14:paraId="729BC265">
            <w:pPr>
              <w:spacing w:line="400" w:lineRule="exact"/>
              <w:rPr>
                <w:rFonts w:eastAsiaTheme="minorEastAsia"/>
                <w:highlight w:val="none"/>
              </w:rPr>
            </w:pPr>
            <w:r>
              <w:rPr>
                <w:rFonts w:eastAsiaTheme="minorEastAsia"/>
                <w:highlight w:val="none"/>
              </w:rPr>
              <w:t>磋商文件澄清、答复、修改、补充的内容为磋商文件的组成部分。当磋商文件与磋商文件的答复、澄清、修改、补充通知就同一内容的表述不一致时，以最后发出的文件为准。</w:t>
            </w:r>
          </w:p>
        </w:tc>
      </w:tr>
      <w:tr w14:paraId="57FE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Align w:val="center"/>
          </w:tcPr>
          <w:p w14:paraId="6767CA5F">
            <w:pPr>
              <w:spacing w:line="400" w:lineRule="exact"/>
              <w:jc w:val="center"/>
              <w:rPr>
                <w:rFonts w:eastAsiaTheme="minorEastAsia"/>
                <w:highlight w:val="none"/>
              </w:rPr>
            </w:pPr>
            <w:r>
              <w:rPr>
                <w:rFonts w:eastAsiaTheme="minorEastAsia"/>
                <w:highlight w:val="none"/>
              </w:rPr>
              <w:t>5</w:t>
            </w:r>
          </w:p>
        </w:tc>
        <w:tc>
          <w:tcPr>
            <w:tcW w:w="1765" w:type="dxa"/>
            <w:vAlign w:val="center"/>
          </w:tcPr>
          <w:p w14:paraId="035EB67C">
            <w:pPr>
              <w:spacing w:line="400" w:lineRule="exact"/>
              <w:jc w:val="center"/>
              <w:rPr>
                <w:rFonts w:eastAsiaTheme="minorEastAsia"/>
                <w:highlight w:val="none"/>
              </w:rPr>
            </w:pPr>
            <w:r>
              <w:rPr>
                <w:rFonts w:eastAsiaTheme="minorEastAsia"/>
                <w:highlight w:val="none"/>
              </w:rPr>
              <w:t>确认收到澄清、修改发布的方式</w:t>
            </w:r>
          </w:p>
        </w:tc>
        <w:tc>
          <w:tcPr>
            <w:tcW w:w="6863" w:type="dxa"/>
          </w:tcPr>
          <w:p w14:paraId="162947B3">
            <w:pPr>
              <w:spacing w:line="400" w:lineRule="exact"/>
              <w:rPr>
                <w:rFonts w:eastAsiaTheme="minorEastAsia"/>
                <w:highlight w:val="none"/>
              </w:rPr>
            </w:pPr>
            <w:r>
              <w:rPr>
                <w:rFonts w:eastAsiaTheme="minorEastAsia"/>
                <w:highlight w:val="none"/>
              </w:rPr>
              <w:t>澄清、修改文件在磋商公告发布媒介发布之日起，视为投标人已收到该澄清、修改。投标人未及时关注磋商公告发布媒介造成的损失，由投标人自行负责。</w:t>
            </w:r>
          </w:p>
        </w:tc>
      </w:tr>
      <w:tr w14:paraId="0237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F8A6CD3">
            <w:pPr>
              <w:spacing w:line="400" w:lineRule="exact"/>
              <w:jc w:val="center"/>
              <w:rPr>
                <w:rFonts w:eastAsiaTheme="minorEastAsia"/>
                <w:highlight w:val="none"/>
              </w:rPr>
            </w:pPr>
            <w:r>
              <w:rPr>
                <w:rFonts w:eastAsiaTheme="minorEastAsia"/>
                <w:highlight w:val="none"/>
              </w:rPr>
              <w:t>6</w:t>
            </w:r>
          </w:p>
        </w:tc>
        <w:tc>
          <w:tcPr>
            <w:tcW w:w="1765" w:type="dxa"/>
            <w:vAlign w:val="center"/>
          </w:tcPr>
          <w:p w14:paraId="0BEFBF15">
            <w:pPr>
              <w:spacing w:line="400" w:lineRule="exact"/>
              <w:jc w:val="center"/>
              <w:rPr>
                <w:rFonts w:eastAsiaTheme="minorEastAsia"/>
                <w:highlight w:val="none"/>
              </w:rPr>
            </w:pPr>
            <w:r>
              <w:rPr>
                <w:rFonts w:eastAsiaTheme="minorEastAsia"/>
                <w:highlight w:val="none"/>
              </w:rPr>
              <w:t>现场踏勘</w:t>
            </w:r>
          </w:p>
        </w:tc>
        <w:tc>
          <w:tcPr>
            <w:tcW w:w="6863" w:type="dxa"/>
          </w:tcPr>
          <w:p w14:paraId="5D7579B5">
            <w:pPr>
              <w:spacing w:line="400" w:lineRule="exact"/>
              <w:rPr>
                <w:rFonts w:eastAsiaTheme="minorEastAsia"/>
                <w:highlight w:val="none"/>
              </w:rPr>
            </w:pPr>
            <w:r>
              <w:rPr>
                <w:rFonts w:eastAsiaTheme="minorEastAsia"/>
                <w:highlight w:val="none"/>
              </w:rPr>
              <w:t>不组织。</w:t>
            </w:r>
          </w:p>
        </w:tc>
      </w:tr>
      <w:tr w14:paraId="4C65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2FFD3D5F">
            <w:pPr>
              <w:spacing w:line="400" w:lineRule="exact"/>
              <w:jc w:val="center"/>
              <w:rPr>
                <w:rFonts w:eastAsiaTheme="minorEastAsia"/>
                <w:highlight w:val="none"/>
              </w:rPr>
            </w:pPr>
            <w:r>
              <w:rPr>
                <w:rFonts w:eastAsiaTheme="minorEastAsia"/>
                <w:highlight w:val="none"/>
              </w:rPr>
              <w:t>7</w:t>
            </w:r>
          </w:p>
        </w:tc>
        <w:tc>
          <w:tcPr>
            <w:tcW w:w="1765" w:type="dxa"/>
            <w:vAlign w:val="center"/>
          </w:tcPr>
          <w:p w14:paraId="52B4C781">
            <w:pPr>
              <w:spacing w:line="400" w:lineRule="exact"/>
              <w:jc w:val="center"/>
              <w:rPr>
                <w:rFonts w:eastAsiaTheme="minorEastAsia"/>
                <w:highlight w:val="none"/>
              </w:rPr>
            </w:pPr>
            <w:r>
              <w:rPr>
                <w:rFonts w:eastAsiaTheme="minorEastAsia"/>
                <w:highlight w:val="none"/>
              </w:rPr>
              <w:t>转包/分包</w:t>
            </w:r>
          </w:p>
        </w:tc>
        <w:tc>
          <w:tcPr>
            <w:tcW w:w="6863" w:type="dxa"/>
          </w:tcPr>
          <w:p w14:paraId="712B2868">
            <w:pPr>
              <w:spacing w:line="400" w:lineRule="exact"/>
              <w:rPr>
                <w:rFonts w:eastAsiaTheme="minorEastAsia"/>
                <w:highlight w:val="none"/>
              </w:rPr>
            </w:pPr>
            <w:r>
              <w:rPr>
                <w:rFonts w:eastAsiaTheme="minorEastAsia"/>
                <w:highlight w:val="none"/>
              </w:rPr>
              <w:t>不允许。</w:t>
            </w:r>
          </w:p>
        </w:tc>
      </w:tr>
      <w:tr w14:paraId="1C44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21" w:type="dxa"/>
            <w:vAlign w:val="center"/>
          </w:tcPr>
          <w:p w14:paraId="2C53DCF4">
            <w:pPr>
              <w:spacing w:line="400" w:lineRule="exact"/>
              <w:jc w:val="center"/>
              <w:rPr>
                <w:rFonts w:eastAsiaTheme="minorEastAsia"/>
                <w:highlight w:val="none"/>
              </w:rPr>
            </w:pPr>
            <w:r>
              <w:rPr>
                <w:rFonts w:eastAsiaTheme="minorEastAsia"/>
                <w:highlight w:val="none"/>
              </w:rPr>
              <w:t>8</w:t>
            </w:r>
          </w:p>
        </w:tc>
        <w:tc>
          <w:tcPr>
            <w:tcW w:w="1765" w:type="dxa"/>
            <w:vAlign w:val="center"/>
          </w:tcPr>
          <w:p w14:paraId="062B9C46">
            <w:pPr>
              <w:pStyle w:val="4"/>
              <w:spacing w:after="0" w:line="400" w:lineRule="exact"/>
              <w:jc w:val="center"/>
              <w:rPr>
                <w:rFonts w:eastAsiaTheme="minorEastAsia"/>
                <w:highlight w:val="none"/>
              </w:rPr>
            </w:pPr>
            <w:r>
              <w:rPr>
                <w:rFonts w:eastAsiaTheme="minorEastAsia"/>
                <w:highlight w:val="none"/>
              </w:rPr>
              <w:t>实质性要求和条件</w:t>
            </w:r>
          </w:p>
        </w:tc>
        <w:tc>
          <w:tcPr>
            <w:tcW w:w="6863" w:type="dxa"/>
            <w:vAlign w:val="center"/>
          </w:tcPr>
          <w:p w14:paraId="15DAC364">
            <w:pPr>
              <w:pStyle w:val="4"/>
              <w:spacing w:after="0" w:line="400" w:lineRule="exact"/>
              <w:rPr>
                <w:rFonts w:eastAsiaTheme="minorEastAsia"/>
                <w:highlight w:val="none"/>
              </w:rPr>
            </w:pPr>
            <w:r>
              <w:rPr>
                <w:rFonts w:eastAsiaTheme="minorEastAsia"/>
                <w:highlight w:val="none"/>
              </w:rPr>
              <w:t>磋商文件中所有标注★号的条款</w:t>
            </w:r>
          </w:p>
        </w:tc>
      </w:tr>
      <w:tr w14:paraId="089F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7797686">
            <w:pPr>
              <w:spacing w:line="400" w:lineRule="exact"/>
              <w:jc w:val="center"/>
              <w:rPr>
                <w:rFonts w:eastAsiaTheme="minorEastAsia"/>
                <w:highlight w:val="none"/>
              </w:rPr>
            </w:pPr>
            <w:r>
              <w:rPr>
                <w:rFonts w:eastAsiaTheme="minorEastAsia"/>
                <w:highlight w:val="none"/>
              </w:rPr>
              <w:t>9</w:t>
            </w:r>
          </w:p>
        </w:tc>
        <w:tc>
          <w:tcPr>
            <w:tcW w:w="1765" w:type="dxa"/>
            <w:vAlign w:val="center"/>
          </w:tcPr>
          <w:p w14:paraId="58A9577D">
            <w:pPr>
              <w:spacing w:line="400" w:lineRule="exact"/>
              <w:jc w:val="center"/>
              <w:rPr>
                <w:rFonts w:eastAsiaTheme="minorEastAsia"/>
                <w:highlight w:val="none"/>
              </w:rPr>
            </w:pPr>
            <w:r>
              <w:rPr>
                <w:rFonts w:eastAsiaTheme="minorEastAsia"/>
                <w:highlight w:val="none"/>
              </w:rPr>
              <w:t>报价及费用</w:t>
            </w:r>
          </w:p>
        </w:tc>
        <w:tc>
          <w:tcPr>
            <w:tcW w:w="6863" w:type="dxa"/>
          </w:tcPr>
          <w:p w14:paraId="4A74C6A4">
            <w:pPr>
              <w:spacing w:line="400" w:lineRule="exact"/>
              <w:rPr>
                <w:rFonts w:eastAsiaTheme="minorEastAsia"/>
                <w:highlight w:val="none"/>
              </w:rPr>
            </w:pPr>
            <w:r>
              <w:rPr>
                <w:rFonts w:eastAsiaTheme="minorEastAsia"/>
                <w:highlight w:val="none"/>
              </w:rPr>
              <w:t>（1）本次报价须为人民币报价，报价应被视为已经包含了但不限于本项目购买相关货物或服务等的费用和所需缴纳的税费等一切费用。</w:t>
            </w:r>
          </w:p>
          <w:p w14:paraId="0191355B">
            <w:pPr>
              <w:spacing w:line="400" w:lineRule="exact"/>
              <w:rPr>
                <w:rFonts w:eastAsiaTheme="minorEastAsia"/>
                <w:highlight w:val="none"/>
              </w:rPr>
            </w:pPr>
            <w:r>
              <w:rPr>
                <w:rFonts w:eastAsiaTheme="minorEastAsia"/>
                <w:highlight w:val="none"/>
              </w:rPr>
              <w:t>（2）不论磋商结果如何，投标人均应自行承担所有与磋商有关的全部费用。</w:t>
            </w:r>
          </w:p>
          <w:p w14:paraId="5EC7E250">
            <w:pPr>
              <w:spacing w:line="400" w:lineRule="exact"/>
              <w:rPr>
                <w:rFonts w:eastAsiaTheme="minorEastAsia"/>
                <w:highlight w:val="none"/>
              </w:rPr>
            </w:pPr>
            <w:r>
              <w:rPr>
                <w:rFonts w:eastAsiaTheme="minorEastAsia"/>
                <w:highlight w:val="none"/>
              </w:rPr>
              <w:t>（3）预算金额：</w:t>
            </w:r>
            <w:r>
              <w:rPr>
                <w:rFonts w:hint="eastAsia" w:eastAsiaTheme="minorEastAsia"/>
                <w:b/>
                <w:bCs/>
                <w:highlight w:val="none"/>
                <w:lang w:val="en-US" w:eastAsia="zh-CN"/>
              </w:rPr>
              <w:t>76.8</w:t>
            </w:r>
            <w:r>
              <w:rPr>
                <w:rFonts w:hint="eastAsia" w:eastAsiaTheme="minorEastAsia"/>
                <w:b/>
                <w:bCs/>
                <w:highlight w:val="none"/>
              </w:rPr>
              <w:t>万元</w:t>
            </w:r>
            <w:r>
              <w:rPr>
                <w:rFonts w:hint="eastAsia" w:eastAsiaTheme="minorEastAsia"/>
                <w:b/>
                <w:bCs/>
                <w:highlight w:val="none"/>
                <w:lang w:eastAsia="zh-CN"/>
              </w:rPr>
              <w:t>（</w:t>
            </w:r>
            <w:r>
              <w:rPr>
                <w:rFonts w:hint="eastAsia" w:eastAsiaTheme="minorEastAsia"/>
                <w:b/>
                <w:bCs/>
                <w:highlight w:val="none"/>
                <w:lang w:val="en-US" w:eastAsia="zh-CN"/>
              </w:rPr>
              <w:t>其中明确需求费用70.4万元；新增零散开发需求6.4万元，以实际工作量结算</w:t>
            </w:r>
            <w:r>
              <w:rPr>
                <w:rFonts w:hint="eastAsia" w:eastAsiaTheme="minorEastAsia"/>
                <w:b/>
                <w:bCs/>
                <w:highlight w:val="none"/>
                <w:lang w:eastAsia="zh-CN"/>
              </w:rPr>
              <w:t>）</w:t>
            </w:r>
            <w:r>
              <w:rPr>
                <w:rFonts w:eastAsiaTheme="minorEastAsia"/>
                <w:highlight w:val="none"/>
              </w:rPr>
              <w:t>。</w:t>
            </w:r>
          </w:p>
          <w:p w14:paraId="4DAAA5B8">
            <w:pPr>
              <w:spacing w:line="400" w:lineRule="exact"/>
              <w:rPr>
                <w:rFonts w:eastAsiaTheme="minorEastAsia"/>
                <w:highlight w:val="none"/>
              </w:rPr>
            </w:pPr>
            <w:r>
              <w:rPr>
                <w:rFonts w:eastAsiaTheme="minorEastAsia"/>
                <w:highlight w:val="none"/>
              </w:rPr>
              <w:t>（4）资金来源：企业自筹。</w:t>
            </w:r>
          </w:p>
        </w:tc>
      </w:tr>
      <w:tr w14:paraId="4C90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021" w:type="dxa"/>
            <w:vAlign w:val="center"/>
          </w:tcPr>
          <w:p w14:paraId="4152E0BB">
            <w:pPr>
              <w:spacing w:line="400" w:lineRule="exact"/>
              <w:jc w:val="center"/>
              <w:rPr>
                <w:rFonts w:eastAsiaTheme="minorEastAsia"/>
                <w:highlight w:val="none"/>
              </w:rPr>
            </w:pPr>
            <w:r>
              <w:rPr>
                <w:rFonts w:eastAsiaTheme="minorEastAsia"/>
                <w:highlight w:val="none"/>
              </w:rPr>
              <w:t>10</w:t>
            </w:r>
          </w:p>
        </w:tc>
        <w:tc>
          <w:tcPr>
            <w:tcW w:w="1765" w:type="dxa"/>
            <w:vAlign w:val="center"/>
          </w:tcPr>
          <w:p w14:paraId="3D210C05">
            <w:pPr>
              <w:spacing w:line="400" w:lineRule="exact"/>
              <w:jc w:val="center"/>
              <w:rPr>
                <w:rFonts w:eastAsiaTheme="minorEastAsia"/>
                <w:highlight w:val="none"/>
              </w:rPr>
            </w:pPr>
            <w:r>
              <w:rPr>
                <w:rFonts w:eastAsiaTheme="minorEastAsia"/>
                <w:highlight w:val="none"/>
              </w:rPr>
              <w:t>保证金</w:t>
            </w:r>
          </w:p>
        </w:tc>
        <w:tc>
          <w:tcPr>
            <w:tcW w:w="6863" w:type="dxa"/>
          </w:tcPr>
          <w:p w14:paraId="1E8FE082">
            <w:pPr>
              <w:spacing w:line="400" w:lineRule="exact"/>
              <w:rPr>
                <w:rFonts w:eastAsiaTheme="minorEastAsia"/>
                <w:highlight w:val="none"/>
              </w:rPr>
            </w:pPr>
            <w:r>
              <w:rPr>
                <w:rFonts w:eastAsiaTheme="minorEastAsia"/>
                <w:highlight w:val="none"/>
              </w:rPr>
              <w:t>保证金的形式：转帐或电汇形式；</w:t>
            </w:r>
          </w:p>
          <w:p w14:paraId="0FA94B5D">
            <w:pPr>
              <w:spacing w:line="400" w:lineRule="exact"/>
              <w:rPr>
                <w:rFonts w:eastAsiaTheme="minorEastAsia"/>
                <w:highlight w:val="none"/>
              </w:rPr>
            </w:pPr>
            <w:r>
              <w:rPr>
                <w:rFonts w:eastAsiaTheme="minorEastAsia"/>
                <w:highlight w:val="none"/>
              </w:rPr>
              <w:t>磋商保证金的金额：</w:t>
            </w:r>
            <w:r>
              <w:rPr>
                <w:rFonts w:hint="eastAsia" w:eastAsiaTheme="minorEastAsia"/>
                <w:b/>
                <w:bCs/>
                <w:highlight w:val="none"/>
                <w:lang w:val="en-US" w:eastAsia="zh-CN"/>
              </w:rPr>
              <w:t>1.5</w:t>
            </w:r>
            <w:r>
              <w:rPr>
                <w:rFonts w:eastAsiaTheme="minorEastAsia"/>
                <w:b/>
                <w:bCs/>
                <w:highlight w:val="none"/>
              </w:rPr>
              <w:t xml:space="preserve">万元 </w:t>
            </w:r>
            <w:r>
              <w:rPr>
                <w:rFonts w:eastAsiaTheme="minorEastAsia"/>
                <w:highlight w:val="none"/>
              </w:rPr>
              <w:t>。</w:t>
            </w:r>
          </w:p>
          <w:p w14:paraId="1A18F4D3">
            <w:pPr>
              <w:spacing w:line="400" w:lineRule="exact"/>
              <w:rPr>
                <w:rFonts w:eastAsiaTheme="minorEastAsia"/>
                <w:highlight w:val="none"/>
              </w:rPr>
            </w:pPr>
            <w:r>
              <w:rPr>
                <w:rFonts w:eastAsiaTheme="minorEastAsia"/>
                <w:highlight w:val="none"/>
              </w:rPr>
              <w:t>（1）投标人应于</w:t>
            </w:r>
            <w:r>
              <w:rPr>
                <w:rFonts w:eastAsiaTheme="minorEastAsia"/>
                <w:b/>
                <w:bCs/>
                <w:highlight w:val="none"/>
              </w:rPr>
              <w:t>2025年</w:t>
            </w:r>
            <w:r>
              <w:rPr>
                <w:rFonts w:hint="eastAsia" w:eastAsiaTheme="minorEastAsia"/>
                <w:b/>
                <w:bCs/>
                <w:highlight w:val="none"/>
              </w:rPr>
              <w:t>1</w:t>
            </w:r>
            <w:r>
              <w:rPr>
                <w:rFonts w:hint="eastAsia" w:eastAsiaTheme="minorEastAsia"/>
                <w:b/>
                <w:bCs/>
                <w:highlight w:val="none"/>
                <w:lang w:val="en-US" w:eastAsia="zh-CN"/>
              </w:rPr>
              <w:t>1</w:t>
            </w:r>
            <w:r>
              <w:rPr>
                <w:rFonts w:eastAsiaTheme="minorEastAsia"/>
                <w:b/>
                <w:bCs/>
                <w:highlight w:val="none"/>
              </w:rPr>
              <w:t>月</w:t>
            </w:r>
            <w:r>
              <w:rPr>
                <w:rFonts w:hint="eastAsia" w:eastAsiaTheme="minorEastAsia"/>
                <w:b/>
                <w:bCs/>
                <w:highlight w:val="none"/>
                <w:lang w:val="en-US" w:eastAsia="zh-CN"/>
              </w:rPr>
              <w:t>14</w:t>
            </w:r>
            <w:r>
              <w:rPr>
                <w:rFonts w:eastAsiaTheme="minorEastAsia"/>
                <w:b/>
                <w:bCs/>
                <w:highlight w:val="none"/>
              </w:rPr>
              <w:t>日09时00分前</w:t>
            </w:r>
            <w:r>
              <w:rPr>
                <w:rFonts w:eastAsiaTheme="minorEastAsia"/>
                <w:highlight w:val="none"/>
              </w:rPr>
              <w:t>将保证金以转账、电汇形式从投标人账户一次性足额缴纳至本项目对应的专用账号，</w:t>
            </w:r>
            <w:r>
              <w:rPr>
                <w:rFonts w:eastAsiaTheme="minorEastAsia"/>
                <w:b/>
                <w:bCs/>
                <w:highlight w:val="none"/>
              </w:rPr>
              <w:t>转账时备注“2025</w:t>
            </w:r>
            <w:r>
              <w:rPr>
                <w:rFonts w:hint="eastAsia" w:eastAsiaTheme="minorEastAsia"/>
                <w:b/>
                <w:bCs/>
                <w:highlight w:val="none"/>
                <w:lang w:val="en-US" w:eastAsia="zh-CN"/>
              </w:rPr>
              <w:t>114</w:t>
            </w:r>
            <w:r>
              <w:rPr>
                <w:rFonts w:eastAsiaTheme="minorEastAsia"/>
                <w:b/>
                <w:bCs/>
                <w:highlight w:val="none"/>
              </w:rPr>
              <w:t>项目”</w:t>
            </w:r>
            <w:r>
              <w:rPr>
                <w:rFonts w:eastAsiaTheme="minorEastAsia"/>
                <w:highlight w:val="none"/>
              </w:rPr>
              <w:t>，所交纳的磋商保证金仅限当次项目有效，不得重复替代使用。本项目保证金交至以下账户：</w:t>
            </w:r>
          </w:p>
          <w:p w14:paraId="1F30994C">
            <w:pPr>
              <w:spacing w:line="400" w:lineRule="exact"/>
              <w:rPr>
                <w:rFonts w:eastAsiaTheme="minorEastAsia"/>
                <w:highlight w:val="none"/>
              </w:rPr>
            </w:pPr>
            <w:r>
              <w:rPr>
                <w:rFonts w:eastAsiaTheme="minorEastAsia"/>
                <w:highlight w:val="none"/>
              </w:rPr>
              <w:t>开户名称：桂林银行股份有限公司</w:t>
            </w:r>
          </w:p>
          <w:p w14:paraId="142E172F">
            <w:pPr>
              <w:spacing w:line="400" w:lineRule="exact"/>
              <w:rPr>
                <w:rFonts w:eastAsiaTheme="minorEastAsia"/>
                <w:highlight w:val="none"/>
              </w:rPr>
            </w:pPr>
            <w:r>
              <w:rPr>
                <w:rFonts w:eastAsiaTheme="minorEastAsia"/>
                <w:highlight w:val="none"/>
              </w:rPr>
              <w:t xml:space="preserve">开户银行：桂林银行股份有限公司营业部  </w:t>
            </w:r>
          </w:p>
          <w:p w14:paraId="101754B8">
            <w:pPr>
              <w:spacing w:line="400" w:lineRule="exact"/>
              <w:rPr>
                <w:rFonts w:eastAsiaTheme="minorEastAsia"/>
                <w:highlight w:val="none"/>
              </w:rPr>
            </w:pPr>
            <w:r>
              <w:rPr>
                <w:rFonts w:eastAsiaTheme="minorEastAsia"/>
                <w:highlight w:val="none"/>
              </w:rPr>
              <w:t>帐号：6040120111037303</w:t>
            </w:r>
          </w:p>
          <w:p w14:paraId="4C24B243">
            <w:pPr>
              <w:spacing w:line="400" w:lineRule="exact"/>
              <w:rPr>
                <w:rFonts w:eastAsiaTheme="minorEastAsia"/>
                <w:highlight w:val="none"/>
              </w:rPr>
            </w:pPr>
            <w:r>
              <w:rPr>
                <w:rFonts w:eastAsiaTheme="minorEastAsia"/>
                <w:highlight w:val="none"/>
              </w:rPr>
              <w:t>联行号：313617000219</w:t>
            </w:r>
          </w:p>
          <w:p w14:paraId="7385FD63">
            <w:pPr>
              <w:spacing w:line="400" w:lineRule="exact"/>
              <w:rPr>
                <w:rFonts w:eastAsiaTheme="minorEastAsia"/>
                <w:highlight w:val="none"/>
              </w:rPr>
            </w:pPr>
            <w:r>
              <w:rPr>
                <w:rFonts w:eastAsiaTheme="minorEastAsia"/>
                <w:highlight w:val="none"/>
              </w:rPr>
              <w:t>（2）保证金币种应与磋商报价币种相同。保证金缴纳后无需开具收据，但必须在磋商截止时间之前到达指定账号，其到账时间以银行确认的到账时间为准。凡未在规定时间内足额交纳或以其它方式递交的保证金均视为无效，其响应文件一律作无效处理。</w:t>
            </w:r>
            <w:r>
              <w:rPr>
                <w:rFonts w:eastAsiaTheme="minorEastAsia"/>
                <w:b/>
                <w:highlight w:val="none"/>
                <w:u w:val="single"/>
              </w:rPr>
              <w:t>本项目不接受现金形式或从个人账户转出的磋商保证金。</w:t>
            </w:r>
          </w:p>
          <w:p w14:paraId="7F23CCAA">
            <w:pPr>
              <w:spacing w:line="400" w:lineRule="exact"/>
              <w:rPr>
                <w:rFonts w:eastAsiaTheme="minorEastAsia"/>
                <w:highlight w:val="none"/>
              </w:rPr>
            </w:pPr>
            <w:r>
              <w:rPr>
                <w:rFonts w:eastAsiaTheme="minorEastAsia"/>
                <w:highlight w:val="none"/>
              </w:rPr>
              <w:t>（3）除磋商文件规定不予退还保证金的情形外，未中标投标人的磋商保证金最迟在本项目书面合同签订后5日内退还，均以转账形式（无息）原路退还到投标人银行账户。投标人自行承担交纳保证金后未参加磋商活动或磋商保证金缴纳错误而导致磋商保证金无法及时退还的责任。</w:t>
            </w:r>
          </w:p>
          <w:p w14:paraId="1E28338F">
            <w:pPr>
              <w:spacing w:line="400" w:lineRule="exact"/>
              <w:rPr>
                <w:rFonts w:eastAsiaTheme="minorEastAsia"/>
                <w:highlight w:val="none"/>
              </w:rPr>
            </w:pPr>
            <w:r>
              <w:rPr>
                <w:rFonts w:eastAsiaTheme="minorEastAsia"/>
                <w:highlight w:val="none"/>
              </w:rPr>
              <w:t>（4）未按以上要求缴纳磋商保证金的响应文件，将作无效响应文件处理。</w:t>
            </w:r>
          </w:p>
        </w:tc>
      </w:tr>
      <w:tr w14:paraId="61F8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46E48CC">
            <w:pPr>
              <w:spacing w:line="400" w:lineRule="exact"/>
              <w:jc w:val="center"/>
              <w:rPr>
                <w:rFonts w:eastAsiaTheme="minorEastAsia"/>
                <w:highlight w:val="none"/>
              </w:rPr>
            </w:pPr>
            <w:r>
              <w:rPr>
                <w:rFonts w:eastAsiaTheme="minorEastAsia"/>
                <w:highlight w:val="none"/>
              </w:rPr>
              <w:t>11</w:t>
            </w:r>
          </w:p>
        </w:tc>
        <w:tc>
          <w:tcPr>
            <w:tcW w:w="1765" w:type="dxa"/>
            <w:vAlign w:val="center"/>
          </w:tcPr>
          <w:p w14:paraId="52F5D159">
            <w:pPr>
              <w:spacing w:line="400" w:lineRule="exact"/>
              <w:jc w:val="center"/>
              <w:rPr>
                <w:rFonts w:eastAsiaTheme="minorEastAsia"/>
                <w:position w:val="10"/>
                <w:highlight w:val="none"/>
              </w:rPr>
            </w:pPr>
            <w:r>
              <w:rPr>
                <w:rFonts w:eastAsiaTheme="minorEastAsia"/>
                <w:position w:val="10"/>
                <w:highlight w:val="none"/>
              </w:rPr>
              <w:t>合同履约担保</w:t>
            </w:r>
          </w:p>
        </w:tc>
        <w:tc>
          <w:tcPr>
            <w:tcW w:w="6863" w:type="dxa"/>
            <w:vAlign w:val="center"/>
          </w:tcPr>
          <w:p w14:paraId="1A499BAC">
            <w:pPr>
              <w:spacing w:line="400" w:lineRule="exact"/>
              <w:rPr>
                <w:rFonts w:eastAsiaTheme="minorEastAsia"/>
                <w:highlight w:val="none"/>
              </w:rPr>
            </w:pPr>
            <w:r>
              <w:rPr>
                <w:highlight w:val="none"/>
              </w:rPr>
              <w:t>中标投标人的磋商保证金在领取合作通知书后转为合同履约担保，</w:t>
            </w:r>
            <w:r>
              <w:rPr>
                <w:rFonts w:eastAsiaTheme="minorEastAsia"/>
                <w:highlight w:val="none"/>
              </w:rPr>
              <w:t>履约保证金在合同期满且验收合格后退还（合同中另有约定的除外），投标人提供退款申请（详见附件8），申请包括项目名称、编号、退款金额、账户信息等内容，经采购人核实后无息退还。</w:t>
            </w:r>
          </w:p>
        </w:tc>
      </w:tr>
      <w:tr w14:paraId="64EE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EDBCF8A">
            <w:pPr>
              <w:spacing w:line="400" w:lineRule="exact"/>
              <w:jc w:val="center"/>
              <w:rPr>
                <w:rFonts w:eastAsiaTheme="minorEastAsia"/>
                <w:highlight w:val="none"/>
              </w:rPr>
            </w:pPr>
            <w:r>
              <w:rPr>
                <w:rFonts w:eastAsiaTheme="minorEastAsia"/>
                <w:highlight w:val="none"/>
              </w:rPr>
              <w:t>12</w:t>
            </w:r>
          </w:p>
        </w:tc>
        <w:tc>
          <w:tcPr>
            <w:tcW w:w="1765" w:type="dxa"/>
            <w:vAlign w:val="center"/>
          </w:tcPr>
          <w:p w14:paraId="2CA23E55">
            <w:pPr>
              <w:spacing w:line="400" w:lineRule="exact"/>
              <w:jc w:val="center"/>
              <w:rPr>
                <w:rFonts w:eastAsiaTheme="minorEastAsia"/>
                <w:position w:val="10"/>
                <w:highlight w:val="none"/>
              </w:rPr>
            </w:pPr>
            <w:r>
              <w:rPr>
                <w:rFonts w:eastAsiaTheme="minorEastAsia"/>
                <w:highlight w:val="none"/>
              </w:rPr>
              <w:t>不予退还磋商保证金的情形</w:t>
            </w:r>
          </w:p>
        </w:tc>
        <w:tc>
          <w:tcPr>
            <w:tcW w:w="6863" w:type="dxa"/>
            <w:vAlign w:val="center"/>
          </w:tcPr>
          <w:p w14:paraId="17974193">
            <w:pPr>
              <w:tabs>
                <w:tab w:val="left" w:pos="1305"/>
              </w:tabs>
              <w:spacing w:line="400" w:lineRule="exact"/>
              <w:rPr>
                <w:rFonts w:eastAsiaTheme="minorEastAsia"/>
                <w:highlight w:val="none"/>
              </w:rPr>
            </w:pPr>
            <w:r>
              <w:rPr>
                <w:rFonts w:eastAsiaTheme="minorEastAsia"/>
                <w:highlight w:val="none"/>
              </w:rPr>
              <w:t>投标人有下列情形之一的，保证金将不予退还：</w:t>
            </w:r>
          </w:p>
          <w:p w14:paraId="58403E8A">
            <w:pPr>
              <w:tabs>
                <w:tab w:val="left" w:pos="1305"/>
              </w:tabs>
              <w:spacing w:line="400" w:lineRule="exact"/>
              <w:rPr>
                <w:rFonts w:eastAsiaTheme="minorEastAsia"/>
                <w:highlight w:val="none"/>
              </w:rPr>
            </w:pPr>
            <w:r>
              <w:rPr>
                <w:rFonts w:eastAsiaTheme="minorEastAsia"/>
                <w:highlight w:val="none"/>
              </w:rPr>
              <w:t>（1）投标人在提交磋商文件截止时间后撤回响应文件的；</w:t>
            </w:r>
          </w:p>
          <w:p w14:paraId="3602E54D">
            <w:pPr>
              <w:tabs>
                <w:tab w:val="left" w:pos="1305"/>
              </w:tabs>
              <w:spacing w:line="400" w:lineRule="exact"/>
              <w:rPr>
                <w:rFonts w:eastAsiaTheme="minorEastAsia"/>
                <w:highlight w:val="none"/>
              </w:rPr>
            </w:pPr>
            <w:r>
              <w:rPr>
                <w:rFonts w:eastAsiaTheme="minorEastAsia"/>
                <w:highlight w:val="none"/>
              </w:rPr>
              <w:t>（2）投标人在响应文件中提供虚假材料的；</w:t>
            </w:r>
          </w:p>
          <w:p w14:paraId="70E5E3F2">
            <w:pPr>
              <w:tabs>
                <w:tab w:val="left" w:pos="1305"/>
              </w:tabs>
              <w:spacing w:line="400" w:lineRule="exact"/>
              <w:rPr>
                <w:rFonts w:eastAsiaTheme="minorEastAsia"/>
                <w:highlight w:val="none"/>
              </w:rPr>
            </w:pPr>
            <w:r>
              <w:rPr>
                <w:rFonts w:eastAsiaTheme="minorEastAsia"/>
                <w:highlight w:val="none"/>
              </w:rPr>
              <w:t>（3）除因不可抗力或磋商文件认可的情形以外，中标人不与采购人签订合同的；</w:t>
            </w:r>
          </w:p>
          <w:p w14:paraId="5E26D14E">
            <w:pPr>
              <w:tabs>
                <w:tab w:val="left" w:pos="1305"/>
              </w:tabs>
              <w:spacing w:line="400" w:lineRule="exact"/>
              <w:rPr>
                <w:rFonts w:eastAsiaTheme="minorEastAsia"/>
                <w:highlight w:val="none"/>
              </w:rPr>
            </w:pPr>
            <w:r>
              <w:rPr>
                <w:rFonts w:eastAsiaTheme="minorEastAsia"/>
                <w:highlight w:val="none"/>
              </w:rPr>
              <w:t>（4）将中标项目转让给他人或者在响应文件中未说明且未经采购人同意，将中标项目分包给他人的；</w:t>
            </w:r>
          </w:p>
          <w:p w14:paraId="78712B2B">
            <w:pPr>
              <w:tabs>
                <w:tab w:val="left" w:pos="1305"/>
              </w:tabs>
              <w:spacing w:line="400" w:lineRule="exact"/>
              <w:rPr>
                <w:rFonts w:eastAsiaTheme="minorEastAsia"/>
                <w:highlight w:val="none"/>
              </w:rPr>
            </w:pPr>
            <w:r>
              <w:rPr>
                <w:rFonts w:eastAsiaTheme="minorEastAsia"/>
                <w:highlight w:val="none"/>
              </w:rPr>
              <w:t>（5）拒绝履行合同义务的；</w:t>
            </w:r>
          </w:p>
          <w:p w14:paraId="297D682D">
            <w:pPr>
              <w:tabs>
                <w:tab w:val="left" w:pos="1305"/>
              </w:tabs>
              <w:spacing w:line="400" w:lineRule="exact"/>
              <w:rPr>
                <w:rFonts w:eastAsiaTheme="minorEastAsia"/>
                <w:highlight w:val="none"/>
              </w:rPr>
            </w:pPr>
            <w:r>
              <w:rPr>
                <w:rFonts w:eastAsiaTheme="minorEastAsia"/>
                <w:highlight w:val="none"/>
              </w:rPr>
              <w:t>（6）其他严重扰乱报价程序的；</w:t>
            </w:r>
          </w:p>
          <w:p w14:paraId="4870CBA9">
            <w:pPr>
              <w:tabs>
                <w:tab w:val="left" w:pos="1305"/>
              </w:tabs>
              <w:spacing w:line="400" w:lineRule="exact"/>
              <w:rPr>
                <w:rFonts w:eastAsiaTheme="minorEastAsia"/>
                <w:highlight w:val="none"/>
              </w:rPr>
            </w:pPr>
            <w:r>
              <w:rPr>
                <w:rFonts w:eastAsiaTheme="minorEastAsia"/>
                <w:highlight w:val="none"/>
              </w:rPr>
              <w:t>（7）磋商文件规定的其他情形。</w:t>
            </w:r>
          </w:p>
        </w:tc>
      </w:tr>
      <w:tr w14:paraId="5254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8061D87">
            <w:pPr>
              <w:spacing w:line="400" w:lineRule="exact"/>
              <w:jc w:val="center"/>
              <w:rPr>
                <w:rFonts w:eastAsiaTheme="minorEastAsia"/>
                <w:highlight w:val="none"/>
              </w:rPr>
            </w:pPr>
            <w:r>
              <w:rPr>
                <w:rFonts w:eastAsiaTheme="minorEastAsia"/>
                <w:highlight w:val="none"/>
              </w:rPr>
              <w:t>13</w:t>
            </w:r>
          </w:p>
        </w:tc>
        <w:tc>
          <w:tcPr>
            <w:tcW w:w="1765" w:type="dxa"/>
            <w:vAlign w:val="center"/>
          </w:tcPr>
          <w:p w14:paraId="71088E7E">
            <w:pPr>
              <w:spacing w:line="400" w:lineRule="exact"/>
              <w:jc w:val="center"/>
              <w:rPr>
                <w:rFonts w:eastAsiaTheme="minorEastAsia"/>
                <w:highlight w:val="none"/>
              </w:rPr>
            </w:pPr>
            <w:r>
              <w:rPr>
                <w:rFonts w:eastAsiaTheme="minorEastAsia"/>
                <w:highlight w:val="none"/>
              </w:rPr>
              <w:t>响应文件份数</w:t>
            </w:r>
          </w:p>
        </w:tc>
        <w:tc>
          <w:tcPr>
            <w:tcW w:w="6863" w:type="dxa"/>
            <w:vAlign w:val="center"/>
          </w:tcPr>
          <w:p w14:paraId="6997F637">
            <w:pPr>
              <w:spacing w:line="400" w:lineRule="exact"/>
              <w:rPr>
                <w:rFonts w:eastAsiaTheme="minorEastAsia"/>
                <w:highlight w:val="none"/>
              </w:rPr>
            </w:pPr>
            <w:r>
              <w:rPr>
                <w:rFonts w:eastAsiaTheme="minorEastAsia"/>
                <w:highlight w:val="none"/>
              </w:rPr>
              <w:t>响应文件</w:t>
            </w:r>
            <w:r>
              <w:rPr>
                <w:rFonts w:eastAsiaTheme="minorEastAsia"/>
                <w:b/>
                <w:bCs/>
                <w:highlight w:val="none"/>
              </w:rPr>
              <w:t>正本一份、副本五份</w:t>
            </w:r>
            <w:r>
              <w:rPr>
                <w:rFonts w:eastAsiaTheme="minorEastAsia"/>
                <w:highlight w:val="none"/>
              </w:rPr>
              <w:t>（</w:t>
            </w:r>
            <w:r>
              <w:rPr>
                <w:rFonts w:eastAsiaTheme="minorEastAsia"/>
                <w:b/>
                <w:bCs/>
                <w:highlight w:val="none"/>
              </w:rPr>
              <w:t>A4标准纸装订，建议双面打印</w:t>
            </w:r>
            <w:r>
              <w:rPr>
                <w:rFonts w:eastAsiaTheme="minorEastAsia"/>
                <w:highlight w:val="none"/>
              </w:rPr>
              <w:t>），正本与副本不一致时，以正本为准。不同语言的内容不一致的，以中文文本为准。提供响应文件正本</w:t>
            </w:r>
            <w:r>
              <w:rPr>
                <w:rFonts w:eastAsiaTheme="minorEastAsia"/>
                <w:b/>
                <w:bCs/>
                <w:highlight w:val="none"/>
              </w:rPr>
              <w:t>电子版光盘或U盘一份（盖章扫描件+word版）</w:t>
            </w:r>
            <w:r>
              <w:rPr>
                <w:rFonts w:eastAsiaTheme="minorEastAsia"/>
                <w:highlight w:val="none"/>
              </w:rPr>
              <w:t>，纸质版与电子版响应文件应一致。</w:t>
            </w:r>
          </w:p>
        </w:tc>
      </w:tr>
      <w:tr w14:paraId="1F8C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00A06AE9">
            <w:pPr>
              <w:spacing w:line="400" w:lineRule="exact"/>
              <w:jc w:val="center"/>
              <w:rPr>
                <w:rFonts w:eastAsiaTheme="minorEastAsia"/>
                <w:highlight w:val="none"/>
              </w:rPr>
            </w:pPr>
            <w:r>
              <w:rPr>
                <w:rFonts w:eastAsiaTheme="minorEastAsia"/>
                <w:highlight w:val="none"/>
              </w:rPr>
              <w:t>14</w:t>
            </w:r>
          </w:p>
        </w:tc>
        <w:tc>
          <w:tcPr>
            <w:tcW w:w="1765" w:type="dxa"/>
            <w:vAlign w:val="center"/>
          </w:tcPr>
          <w:p w14:paraId="18B8AB5B">
            <w:pPr>
              <w:spacing w:line="400" w:lineRule="exact"/>
              <w:jc w:val="center"/>
              <w:rPr>
                <w:rFonts w:eastAsiaTheme="minorEastAsia"/>
                <w:highlight w:val="none"/>
              </w:rPr>
            </w:pPr>
            <w:r>
              <w:rPr>
                <w:rFonts w:eastAsiaTheme="minorEastAsia"/>
                <w:highlight w:val="none"/>
              </w:rPr>
              <w:t>响应文件编制</w:t>
            </w:r>
          </w:p>
        </w:tc>
        <w:tc>
          <w:tcPr>
            <w:tcW w:w="6863" w:type="dxa"/>
            <w:vAlign w:val="center"/>
          </w:tcPr>
          <w:p w14:paraId="05ECB814">
            <w:pPr>
              <w:tabs>
                <w:tab w:val="left" w:pos="1305"/>
              </w:tabs>
              <w:spacing w:line="400" w:lineRule="exact"/>
              <w:rPr>
                <w:rFonts w:eastAsiaTheme="minorEastAsia"/>
                <w:highlight w:val="none"/>
              </w:rPr>
            </w:pPr>
            <w:r>
              <w:rPr>
                <w:rFonts w:eastAsiaTheme="minorEastAsia"/>
                <w:highlight w:val="none"/>
              </w:rPr>
              <w:t>（1）响应文件的正本需打印或用不褪色的墨水填写，响应文件正本除本磋商文件中规定的可提供复印件外均须提供原件。</w:t>
            </w:r>
          </w:p>
          <w:p w14:paraId="2D04B337">
            <w:pPr>
              <w:snapToGrid w:val="0"/>
              <w:spacing w:line="400" w:lineRule="exact"/>
              <w:jc w:val="left"/>
              <w:rPr>
                <w:rFonts w:eastAsiaTheme="minorEastAsia"/>
                <w:highlight w:val="none"/>
              </w:rPr>
            </w:pPr>
            <w:r>
              <w:rPr>
                <w:rFonts w:eastAsiaTheme="minorEastAsia"/>
                <w:highlight w:val="none"/>
              </w:rPr>
              <w:t>（2）响应文件须由投标人在规定位置盖单位公章并由法定代表人或授权委托代理人签署，投标人应写全称。</w:t>
            </w:r>
          </w:p>
          <w:p w14:paraId="4D1405D6">
            <w:pPr>
              <w:snapToGrid w:val="0"/>
              <w:spacing w:line="400" w:lineRule="exact"/>
              <w:jc w:val="left"/>
              <w:rPr>
                <w:rFonts w:eastAsiaTheme="minorEastAsia"/>
                <w:highlight w:val="none"/>
              </w:rPr>
            </w:pPr>
            <w:r>
              <w:rPr>
                <w:rFonts w:eastAsiaTheme="minorEastAsia"/>
                <w:highlight w:val="none"/>
              </w:rPr>
              <w:t>（3）响应文件不得涂改，若有修改错漏处，须加盖单位公章及法定代表人或授权委托代理人签字或盖印鉴章。响应文件因字迹潦草或表达不清所引起的后果由投标人负责。</w:t>
            </w:r>
          </w:p>
          <w:p w14:paraId="63C1F11B">
            <w:pPr>
              <w:snapToGrid w:val="0"/>
              <w:spacing w:line="400" w:lineRule="exact"/>
              <w:jc w:val="left"/>
              <w:rPr>
                <w:rFonts w:eastAsiaTheme="minorEastAsia"/>
                <w:highlight w:val="none"/>
              </w:rPr>
            </w:pPr>
            <w:r>
              <w:rPr>
                <w:rFonts w:eastAsiaTheme="minorEastAsia"/>
                <w:highlight w:val="none"/>
              </w:rPr>
              <w:t>（4）响应文件的扫描件、复印件、身份证件、合同复印件、公章、字体等内容必须清晰可辨，否则响应文件视为无效。</w:t>
            </w:r>
          </w:p>
          <w:p w14:paraId="4F1C7ADF">
            <w:pPr>
              <w:tabs>
                <w:tab w:val="left" w:pos="1305"/>
              </w:tabs>
              <w:spacing w:line="400" w:lineRule="exact"/>
              <w:rPr>
                <w:rFonts w:eastAsiaTheme="minorEastAsia"/>
                <w:highlight w:val="none"/>
              </w:rPr>
            </w:pPr>
            <w:r>
              <w:rPr>
                <w:rFonts w:eastAsiaTheme="minorEastAsia"/>
                <w:highlight w:val="none"/>
              </w:rPr>
              <w:t>（5）投标人应按第六章响应文件格式规定的顺序自编目录及页码装订，响应文件的封面应注明“正本”、“副本”字样，封面上写明项目名称、项目编号、投标单位名称。</w:t>
            </w:r>
          </w:p>
          <w:p w14:paraId="2DFC58B2">
            <w:pPr>
              <w:tabs>
                <w:tab w:val="left" w:pos="1305"/>
              </w:tabs>
              <w:spacing w:line="400" w:lineRule="exact"/>
              <w:rPr>
                <w:rFonts w:eastAsiaTheme="minorEastAsia"/>
                <w:highlight w:val="none"/>
              </w:rPr>
            </w:pPr>
            <w:r>
              <w:rPr>
                <w:rFonts w:eastAsiaTheme="minorEastAsia"/>
                <w:highlight w:val="none"/>
              </w:rPr>
              <w:t>（6）将响应文件“正本”签字盖章后扫描，制作成不可编辑的PDF文档刻在</w:t>
            </w:r>
            <w:r>
              <w:rPr>
                <w:rFonts w:hint="eastAsia" w:eastAsiaTheme="minorEastAsia"/>
                <w:highlight w:val="none"/>
              </w:rPr>
              <w:t>光盘或</w:t>
            </w:r>
            <w:r>
              <w:rPr>
                <w:rFonts w:eastAsiaTheme="minorEastAsia"/>
                <w:highlight w:val="none"/>
              </w:rPr>
              <w:t>U盘上，装入响应文件袋中。</w:t>
            </w:r>
          </w:p>
          <w:p w14:paraId="7C57DA4D">
            <w:pPr>
              <w:tabs>
                <w:tab w:val="left" w:pos="1305"/>
              </w:tabs>
              <w:spacing w:line="400" w:lineRule="exact"/>
              <w:rPr>
                <w:rFonts w:eastAsiaTheme="minorEastAsia"/>
                <w:highlight w:val="none"/>
              </w:rPr>
            </w:pPr>
            <w:r>
              <w:rPr>
                <w:rFonts w:eastAsiaTheme="minorEastAsia"/>
                <w:highlight w:val="none"/>
              </w:rPr>
              <w:t>（7）未按规定或标记的响应文件将被拒绝，由此造成的响应文件被误投或提前拆封的风险由投标人承担。</w:t>
            </w:r>
          </w:p>
        </w:tc>
      </w:tr>
      <w:tr w14:paraId="262A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2F10C71B">
            <w:pPr>
              <w:spacing w:line="400" w:lineRule="exact"/>
              <w:jc w:val="center"/>
              <w:rPr>
                <w:rFonts w:eastAsiaTheme="minorEastAsia"/>
                <w:highlight w:val="none"/>
              </w:rPr>
            </w:pPr>
            <w:r>
              <w:rPr>
                <w:rFonts w:eastAsiaTheme="minorEastAsia"/>
                <w:highlight w:val="none"/>
              </w:rPr>
              <w:t>15</w:t>
            </w:r>
          </w:p>
        </w:tc>
        <w:tc>
          <w:tcPr>
            <w:tcW w:w="1765" w:type="dxa"/>
            <w:vAlign w:val="center"/>
          </w:tcPr>
          <w:p w14:paraId="0F72EB7C">
            <w:pPr>
              <w:spacing w:line="400" w:lineRule="exact"/>
              <w:jc w:val="center"/>
              <w:rPr>
                <w:rFonts w:eastAsiaTheme="minorEastAsia"/>
                <w:highlight w:val="none"/>
              </w:rPr>
            </w:pPr>
            <w:r>
              <w:rPr>
                <w:rFonts w:eastAsiaTheme="minorEastAsia"/>
                <w:highlight w:val="none"/>
              </w:rPr>
              <w:t>装订要求</w:t>
            </w:r>
          </w:p>
        </w:tc>
        <w:tc>
          <w:tcPr>
            <w:tcW w:w="6863" w:type="dxa"/>
            <w:vAlign w:val="center"/>
          </w:tcPr>
          <w:p w14:paraId="2C4A06B8">
            <w:pPr>
              <w:spacing w:line="400" w:lineRule="exact"/>
              <w:rPr>
                <w:rFonts w:eastAsiaTheme="minorEastAsia"/>
                <w:highlight w:val="none"/>
              </w:rPr>
            </w:pPr>
            <w:r>
              <w:rPr>
                <w:rFonts w:hint="eastAsia" w:eastAsiaTheme="minorEastAsia"/>
                <w:highlight w:val="none"/>
              </w:rPr>
              <w:t>（1）</w:t>
            </w:r>
            <w:r>
              <w:rPr>
                <w:rFonts w:eastAsiaTheme="minorEastAsia"/>
                <w:highlight w:val="none"/>
              </w:rPr>
              <w:t>按照响应文件组成内容，先做成纸质文件→签字盖章→扫描→刻在</w:t>
            </w:r>
            <w:r>
              <w:rPr>
                <w:rFonts w:hint="eastAsia" w:eastAsiaTheme="minorEastAsia"/>
                <w:highlight w:val="none"/>
              </w:rPr>
              <w:t>光盘或</w:t>
            </w:r>
            <w:r>
              <w:rPr>
                <w:rFonts w:eastAsiaTheme="minorEastAsia"/>
                <w:highlight w:val="none"/>
              </w:rPr>
              <w:t>U盘上。</w:t>
            </w:r>
          </w:p>
          <w:p w14:paraId="20E17722">
            <w:pPr>
              <w:spacing w:line="400" w:lineRule="exact"/>
              <w:rPr>
                <w:rFonts w:eastAsiaTheme="minorEastAsia"/>
                <w:highlight w:val="none"/>
              </w:rPr>
            </w:pPr>
            <w:r>
              <w:rPr>
                <w:rFonts w:hint="eastAsia" w:eastAsiaTheme="minorEastAsia"/>
                <w:highlight w:val="none"/>
              </w:rPr>
              <w:t>（2）</w:t>
            </w:r>
            <w:r>
              <w:rPr>
                <w:rFonts w:eastAsiaTheme="minorEastAsia"/>
                <w:highlight w:val="none"/>
              </w:rPr>
              <w:t>响应文件正本、副本按照响应文件组成内容，单独装订成册并标注页码，装订应牢固、不易拆散和换页，不得采用活页装订。</w:t>
            </w:r>
          </w:p>
        </w:tc>
      </w:tr>
      <w:tr w14:paraId="6631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167D626">
            <w:pPr>
              <w:spacing w:line="400" w:lineRule="exact"/>
              <w:jc w:val="center"/>
              <w:rPr>
                <w:rFonts w:eastAsiaTheme="minorEastAsia"/>
                <w:highlight w:val="none"/>
              </w:rPr>
            </w:pPr>
            <w:r>
              <w:rPr>
                <w:rFonts w:eastAsiaTheme="minorEastAsia"/>
                <w:highlight w:val="none"/>
              </w:rPr>
              <w:t>16</w:t>
            </w:r>
          </w:p>
        </w:tc>
        <w:tc>
          <w:tcPr>
            <w:tcW w:w="1765" w:type="dxa"/>
            <w:vAlign w:val="center"/>
          </w:tcPr>
          <w:p w14:paraId="1F4D0524">
            <w:pPr>
              <w:spacing w:line="400" w:lineRule="exact"/>
              <w:jc w:val="center"/>
              <w:rPr>
                <w:rFonts w:eastAsiaTheme="minorEastAsia"/>
                <w:position w:val="10"/>
                <w:highlight w:val="none"/>
              </w:rPr>
            </w:pPr>
            <w:r>
              <w:rPr>
                <w:rFonts w:eastAsiaTheme="minorEastAsia"/>
                <w:position w:val="10"/>
                <w:highlight w:val="none"/>
              </w:rPr>
              <w:t>包装、密封</w:t>
            </w:r>
          </w:p>
        </w:tc>
        <w:tc>
          <w:tcPr>
            <w:tcW w:w="6863" w:type="dxa"/>
            <w:vAlign w:val="center"/>
          </w:tcPr>
          <w:p w14:paraId="530C13B3">
            <w:pPr>
              <w:spacing w:line="400" w:lineRule="exact"/>
              <w:rPr>
                <w:rFonts w:eastAsiaTheme="minorEastAsia"/>
                <w:highlight w:val="none"/>
              </w:rPr>
            </w:pPr>
            <w:r>
              <w:rPr>
                <w:rFonts w:hint="eastAsia" w:eastAsiaTheme="minorEastAsia"/>
                <w:highlight w:val="none"/>
              </w:rPr>
              <w:t>（1）</w:t>
            </w:r>
            <w:r>
              <w:rPr>
                <w:rFonts w:eastAsiaTheme="minorEastAsia"/>
                <w:highlight w:val="none"/>
              </w:rPr>
              <w:t>正本、副本、光盘或U盘密封在一个响应文件密封袋中，封贴处须盖章（公章或密封章）或法定代表人或其授权代表签字。</w:t>
            </w:r>
          </w:p>
          <w:p w14:paraId="03CA2CC8">
            <w:pPr>
              <w:spacing w:line="400" w:lineRule="exact"/>
              <w:rPr>
                <w:rFonts w:eastAsiaTheme="minorEastAsia"/>
                <w:highlight w:val="none"/>
              </w:rPr>
            </w:pPr>
            <w:r>
              <w:rPr>
                <w:rFonts w:hint="eastAsia" w:eastAsiaTheme="minorEastAsia"/>
                <w:highlight w:val="none"/>
              </w:rPr>
              <w:t>（2）</w:t>
            </w:r>
            <w:r>
              <w:rPr>
                <w:rFonts w:eastAsiaTheme="minorEastAsia"/>
                <w:highlight w:val="none"/>
              </w:rPr>
              <w:t>密封袋封面上注明</w:t>
            </w:r>
          </w:p>
          <w:p w14:paraId="1B630571">
            <w:pPr>
              <w:spacing w:line="400" w:lineRule="exact"/>
              <w:rPr>
                <w:rFonts w:eastAsiaTheme="minorEastAsia"/>
                <w:highlight w:val="none"/>
              </w:rPr>
            </w:pPr>
            <w:r>
              <w:rPr>
                <w:rFonts w:eastAsiaTheme="minorEastAsia"/>
                <w:highlight w:val="none"/>
              </w:rPr>
              <w:t>投标单位名称：</w:t>
            </w:r>
          </w:p>
          <w:p w14:paraId="56CE4647">
            <w:pPr>
              <w:spacing w:line="400" w:lineRule="exact"/>
              <w:rPr>
                <w:rFonts w:eastAsiaTheme="minorEastAsia"/>
                <w:highlight w:val="none"/>
              </w:rPr>
            </w:pPr>
            <w:r>
              <w:rPr>
                <w:rFonts w:eastAsiaTheme="minorEastAsia"/>
                <w:highlight w:val="none"/>
              </w:rPr>
              <w:t>项目名称：</w:t>
            </w:r>
            <w:r>
              <w:rPr>
                <w:rFonts w:hint="eastAsia" w:eastAsiaTheme="minorEastAsia"/>
                <w:b/>
                <w:bCs/>
                <w:highlight w:val="none"/>
              </w:rPr>
              <w:t>桂林银行采购大模型AI智能体开发项目</w:t>
            </w:r>
          </w:p>
          <w:p w14:paraId="240DAA21">
            <w:pPr>
              <w:spacing w:line="400" w:lineRule="exact"/>
              <w:rPr>
                <w:rFonts w:hint="default" w:eastAsiaTheme="minorEastAsia"/>
                <w:b/>
                <w:bCs/>
                <w:highlight w:val="none"/>
                <w:lang w:val="en-US" w:eastAsia="zh-CN"/>
              </w:rPr>
            </w:pPr>
            <w:r>
              <w:rPr>
                <w:rFonts w:eastAsiaTheme="minorEastAsia"/>
                <w:highlight w:val="none"/>
              </w:rPr>
              <w:t>项目编号：</w:t>
            </w:r>
            <w:r>
              <w:rPr>
                <w:rFonts w:eastAsiaTheme="minorEastAsia"/>
                <w:b/>
                <w:bCs/>
                <w:highlight w:val="none"/>
              </w:rPr>
              <w:t>GYJC2025</w:t>
            </w:r>
            <w:r>
              <w:rPr>
                <w:rFonts w:hint="eastAsia" w:eastAsiaTheme="minorEastAsia"/>
                <w:b/>
                <w:bCs/>
                <w:highlight w:val="none"/>
                <w:lang w:val="en-US" w:eastAsia="zh-CN"/>
              </w:rPr>
              <w:t>114</w:t>
            </w:r>
          </w:p>
          <w:p w14:paraId="09BF21FB">
            <w:pPr>
              <w:pStyle w:val="4"/>
              <w:spacing w:after="0" w:line="400" w:lineRule="exact"/>
              <w:rPr>
                <w:highlight w:val="none"/>
              </w:rPr>
            </w:pPr>
            <w:r>
              <w:rPr>
                <w:rFonts w:hint="eastAsia" w:ascii="宋体" w:hAnsi="宋体" w:cs="宋体"/>
                <w:highlight w:val="none"/>
              </w:rPr>
              <w:t>在</w:t>
            </w:r>
            <w:r>
              <w:rPr>
                <w:rFonts w:hint="eastAsia" w:ascii="宋体" w:hAnsi="宋体" w:cs="宋体"/>
                <w:b/>
                <w:highlight w:val="none"/>
              </w:rPr>
              <w:t>2025年1</w:t>
            </w:r>
            <w:r>
              <w:rPr>
                <w:rFonts w:hint="eastAsia" w:ascii="宋体" w:hAnsi="宋体" w:cs="宋体"/>
                <w:b/>
                <w:highlight w:val="none"/>
                <w:lang w:val="en-US" w:eastAsia="zh-CN"/>
              </w:rPr>
              <w:t>1</w:t>
            </w:r>
            <w:r>
              <w:rPr>
                <w:rFonts w:hint="eastAsia" w:ascii="宋体" w:hAnsi="宋体" w:cs="宋体"/>
                <w:b/>
                <w:highlight w:val="none"/>
              </w:rPr>
              <w:t>月</w:t>
            </w:r>
            <w:r>
              <w:rPr>
                <w:rFonts w:hint="eastAsia" w:ascii="宋体" w:hAnsi="宋体" w:cs="宋体"/>
                <w:b/>
                <w:highlight w:val="none"/>
                <w:lang w:val="en-US" w:eastAsia="zh-CN"/>
              </w:rPr>
              <w:t>14</w:t>
            </w:r>
            <w:r>
              <w:rPr>
                <w:rFonts w:hint="eastAsia" w:ascii="宋体" w:hAnsi="宋体" w:cs="宋体"/>
                <w:b/>
                <w:highlight w:val="none"/>
              </w:rPr>
              <w:t>日9时00分前</w:t>
            </w:r>
            <w:r>
              <w:rPr>
                <w:rFonts w:hint="eastAsia" w:ascii="宋体" w:hAnsi="宋体" w:cs="宋体"/>
                <w:highlight w:val="none"/>
              </w:rPr>
              <w:t>不得开启</w:t>
            </w:r>
          </w:p>
        </w:tc>
      </w:tr>
      <w:tr w14:paraId="518E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6269ED0A">
            <w:pPr>
              <w:spacing w:line="400" w:lineRule="exact"/>
              <w:jc w:val="center"/>
              <w:rPr>
                <w:rFonts w:eastAsiaTheme="minorEastAsia"/>
                <w:highlight w:val="none"/>
              </w:rPr>
            </w:pPr>
            <w:r>
              <w:rPr>
                <w:rFonts w:eastAsiaTheme="minorEastAsia"/>
                <w:highlight w:val="none"/>
              </w:rPr>
              <w:t>17</w:t>
            </w:r>
          </w:p>
        </w:tc>
        <w:tc>
          <w:tcPr>
            <w:tcW w:w="1765" w:type="dxa"/>
            <w:vAlign w:val="center"/>
          </w:tcPr>
          <w:p w14:paraId="209A2A47">
            <w:pPr>
              <w:spacing w:line="400" w:lineRule="exact"/>
              <w:jc w:val="center"/>
              <w:rPr>
                <w:rFonts w:eastAsiaTheme="minorEastAsia"/>
                <w:highlight w:val="none"/>
              </w:rPr>
            </w:pPr>
            <w:r>
              <w:rPr>
                <w:rFonts w:eastAsiaTheme="minorEastAsia"/>
                <w:highlight w:val="none"/>
              </w:rPr>
              <w:t>响应文件递交截止时间及截标时间</w:t>
            </w:r>
          </w:p>
        </w:tc>
        <w:tc>
          <w:tcPr>
            <w:tcW w:w="6863" w:type="dxa"/>
            <w:vAlign w:val="center"/>
          </w:tcPr>
          <w:p w14:paraId="03B3E570">
            <w:pPr>
              <w:spacing w:line="400" w:lineRule="exact"/>
              <w:rPr>
                <w:rFonts w:eastAsiaTheme="minorEastAsia"/>
                <w:highlight w:val="none"/>
              </w:rPr>
            </w:pPr>
            <w:r>
              <w:rPr>
                <w:rFonts w:eastAsiaTheme="minorEastAsia"/>
                <w:highlight w:val="none"/>
              </w:rPr>
              <w:t>见</w:t>
            </w:r>
            <w:r>
              <w:rPr>
                <w:rFonts w:hint="eastAsia" w:eastAsiaTheme="minorEastAsia"/>
                <w:highlight w:val="none"/>
              </w:rPr>
              <w:t>第一章竞争性</w:t>
            </w:r>
            <w:r>
              <w:rPr>
                <w:rFonts w:eastAsiaTheme="minorEastAsia"/>
                <w:highlight w:val="none"/>
              </w:rPr>
              <w:t>磋商公告要求。</w:t>
            </w:r>
          </w:p>
        </w:tc>
      </w:tr>
      <w:tr w14:paraId="2848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021" w:type="dxa"/>
            <w:vAlign w:val="center"/>
          </w:tcPr>
          <w:p w14:paraId="14ED142F">
            <w:pPr>
              <w:spacing w:line="400" w:lineRule="exact"/>
              <w:jc w:val="center"/>
              <w:rPr>
                <w:rFonts w:eastAsiaTheme="minorEastAsia"/>
                <w:highlight w:val="none"/>
              </w:rPr>
            </w:pPr>
            <w:r>
              <w:rPr>
                <w:rFonts w:eastAsiaTheme="minorEastAsia"/>
                <w:highlight w:val="none"/>
              </w:rPr>
              <w:t>18</w:t>
            </w:r>
          </w:p>
        </w:tc>
        <w:tc>
          <w:tcPr>
            <w:tcW w:w="1765" w:type="dxa"/>
            <w:vAlign w:val="center"/>
          </w:tcPr>
          <w:p w14:paraId="0A7F92AD">
            <w:pPr>
              <w:spacing w:line="400" w:lineRule="exact"/>
              <w:jc w:val="center"/>
              <w:rPr>
                <w:rFonts w:eastAsiaTheme="minorEastAsia"/>
                <w:highlight w:val="none"/>
              </w:rPr>
            </w:pPr>
            <w:r>
              <w:rPr>
                <w:rFonts w:eastAsiaTheme="minorEastAsia"/>
                <w:highlight w:val="none"/>
              </w:rPr>
              <w:t>磋商时间及地点</w:t>
            </w:r>
          </w:p>
        </w:tc>
        <w:tc>
          <w:tcPr>
            <w:tcW w:w="6863" w:type="dxa"/>
          </w:tcPr>
          <w:p w14:paraId="1D9C0EB6">
            <w:pPr>
              <w:spacing w:line="400" w:lineRule="exact"/>
              <w:rPr>
                <w:rFonts w:eastAsiaTheme="minorEastAsia"/>
                <w:highlight w:val="none"/>
              </w:rPr>
            </w:pPr>
            <w:r>
              <w:rPr>
                <w:rFonts w:eastAsiaTheme="minorEastAsia"/>
                <w:highlight w:val="none"/>
              </w:rPr>
              <w:t>磋商时间：见</w:t>
            </w:r>
            <w:r>
              <w:rPr>
                <w:rFonts w:hint="eastAsia" w:eastAsiaTheme="minorEastAsia"/>
                <w:highlight w:val="none"/>
              </w:rPr>
              <w:t>第一章竞争性</w:t>
            </w:r>
            <w:r>
              <w:rPr>
                <w:rFonts w:eastAsiaTheme="minorEastAsia"/>
                <w:highlight w:val="none"/>
              </w:rPr>
              <w:t>磋商公告要求。</w:t>
            </w:r>
          </w:p>
          <w:p w14:paraId="76C1B521">
            <w:pPr>
              <w:spacing w:line="400" w:lineRule="exact"/>
              <w:rPr>
                <w:rFonts w:eastAsiaTheme="minorEastAsia"/>
                <w:highlight w:val="none"/>
              </w:rPr>
            </w:pPr>
            <w:r>
              <w:rPr>
                <w:rFonts w:eastAsiaTheme="minorEastAsia"/>
                <w:highlight w:val="none"/>
              </w:rPr>
              <w:t>磋商地点：广西桂林市临桂区公园北路8号桂林金融大厦A附楼三楼</w:t>
            </w:r>
          </w:p>
          <w:p w14:paraId="2F0312C3">
            <w:pPr>
              <w:spacing w:line="400" w:lineRule="exact"/>
              <w:rPr>
                <w:rFonts w:eastAsiaTheme="minorEastAsia"/>
                <w:highlight w:val="none"/>
              </w:rPr>
            </w:pPr>
            <w:r>
              <w:rPr>
                <w:rFonts w:eastAsiaTheme="minorEastAsia"/>
                <w:highlight w:val="none"/>
              </w:rPr>
              <w:t>（1）评审小组会要求投标人在规定的时间内参加磋商、递交最终磋商报价及应答。投标人递交的应答文件、最终报价等材料必须由法定代表人或委托代理人签章或加盖投标人的公章确认。</w:t>
            </w:r>
          </w:p>
          <w:p w14:paraId="6B48C0AE">
            <w:pPr>
              <w:spacing w:line="400" w:lineRule="exact"/>
              <w:rPr>
                <w:rFonts w:eastAsiaTheme="minorEastAsia"/>
                <w:highlight w:val="none"/>
              </w:rPr>
            </w:pPr>
            <w:r>
              <w:rPr>
                <w:rFonts w:eastAsiaTheme="minorEastAsia"/>
                <w:highlight w:val="none"/>
              </w:rPr>
              <w:t>（2）如投标人未按上述要求提供联系方式，致使采购人或评审小组在项目评标期间无法与投标人取得联系的，或因自身原因未能保持电话畅通或未按评审小组要求提交响应文件、最终响应报价等材料的，后果由投标人自行承担。</w:t>
            </w:r>
          </w:p>
        </w:tc>
      </w:tr>
      <w:tr w14:paraId="64BD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021" w:type="dxa"/>
            <w:vAlign w:val="center"/>
          </w:tcPr>
          <w:p w14:paraId="2402482F">
            <w:pPr>
              <w:spacing w:line="400" w:lineRule="exact"/>
              <w:jc w:val="center"/>
              <w:rPr>
                <w:rFonts w:eastAsiaTheme="minorEastAsia"/>
                <w:highlight w:val="none"/>
              </w:rPr>
            </w:pPr>
            <w:r>
              <w:rPr>
                <w:rFonts w:eastAsiaTheme="minorEastAsia"/>
                <w:highlight w:val="none"/>
              </w:rPr>
              <w:t>19</w:t>
            </w:r>
          </w:p>
        </w:tc>
        <w:tc>
          <w:tcPr>
            <w:tcW w:w="1765" w:type="dxa"/>
            <w:vAlign w:val="center"/>
          </w:tcPr>
          <w:p w14:paraId="66192C1A">
            <w:pPr>
              <w:spacing w:line="400" w:lineRule="exact"/>
              <w:jc w:val="center"/>
              <w:rPr>
                <w:rFonts w:eastAsiaTheme="minorEastAsia"/>
                <w:highlight w:val="none"/>
              </w:rPr>
            </w:pPr>
            <w:r>
              <w:rPr>
                <w:rFonts w:eastAsiaTheme="minorEastAsia"/>
                <w:highlight w:val="none"/>
              </w:rPr>
              <w:t>响应文件的修改</w:t>
            </w:r>
          </w:p>
        </w:tc>
        <w:tc>
          <w:tcPr>
            <w:tcW w:w="6863" w:type="dxa"/>
            <w:vAlign w:val="center"/>
          </w:tcPr>
          <w:p w14:paraId="5E45D549">
            <w:pPr>
              <w:spacing w:line="400" w:lineRule="exact"/>
              <w:rPr>
                <w:rFonts w:eastAsiaTheme="minorEastAsia"/>
                <w:highlight w:val="none"/>
              </w:rPr>
            </w:pPr>
            <w:r>
              <w:rPr>
                <w:rFonts w:eastAsiaTheme="minorEastAsia"/>
                <w:highlight w:val="none"/>
              </w:rPr>
              <w:t>（1）投标人在响应文件截止时间之前，可以对已递交的响应文件进行修改或撤回，并书面通知采购人。撤回或修改响应文件的书面通知应由投标人法定代表人或其授权代表签字确认；修改后重新递交的响应文件应当在封套上标明“修改响应文件”字样并密封，在响应文件截止时间前送达，未按要求递交的采购人可以拒收。</w:t>
            </w:r>
          </w:p>
          <w:p w14:paraId="20F7007D">
            <w:pPr>
              <w:spacing w:line="400" w:lineRule="exact"/>
              <w:rPr>
                <w:rFonts w:eastAsiaTheme="minorEastAsia"/>
                <w:highlight w:val="none"/>
              </w:rPr>
            </w:pPr>
            <w:r>
              <w:rPr>
                <w:rFonts w:eastAsiaTheme="minorEastAsia"/>
                <w:highlight w:val="none"/>
              </w:rPr>
              <w:t>（2）响应文件截止时间后的磋商有效期内，投标人不得撤回、修改响应文件。</w:t>
            </w:r>
          </w:p>
        </w:tc>
      </w:tr>
      <w:tr w14:paraId="5201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6F72A1F6">
            <w:pPr>
              <w:spacing w:line="400" w:lineRule="exact"/>
              <w:jc w:val="center"/>
              <w:rPr>
                <w:rFonts w:eastAsiaTheme="minorEastAsia"/>
                <w:highlight w:val="none"/>
              </w:rPr>
            </w:pPr>
            <w:r>
              <w:rPr>
                <w:rFonts w:eastAsiaTheme="minorEastAsia"/>
                <w:highlight w:val="none"/>
              </w:rPr>
              <w:t>20</w:t>
            </w:r>
          </w:p>
        </w:tc>
        <w:tc>
          <w:tcPr>
            <w:tcW w:w="1765" w:type="dxa"/>
            <w:vAlign w:val="center"/>
          </w:tcPr>
          <w:p w14:paraId="2287613C">
            <w:pPr>
              <w:spacing w:line="400" w:lineRule="exact"/>
              <w:jc w:val="center"/>
              <w:rPr>
                <w:rFonts w:eastAsiaTheme="minorEastAsia"/>
                <w:highlight w:val="none"/>
              </w:rPr>
            </w:pPr>
            <w:r>
              <w:rPr>
                <w:rFonts w:eastAsiaTheme="minorEastAsia"/>
                <w:highlight w:val="none"/>
              </w:rPr>
              <w:t>响应文件有效期</w:t>
            </w:r>
          </w:p>
        </w:tc>
        <w:tc>
          <w:tcPr>
            <w:tcW w:w="6863" w:type="dxa"/>
          </w:tcPr>
          <w:p w14:paraId="7E076F3C">
            <w:pPr>
              <w:spacing w:line="400" w:lineRule="exact"/>
              <w:rPr>
                <w:rFonts w:eastAsiaTheme="minorEastAsia"/>
                <w:highlight w:val="none"/>
              </w:rPr>
            </w:pPr>
            <w:r>
              <w:rPr>
                <w:rFonts w:eastAsiaTheme="minorEastAsia"/>
                <w:highlight w:val="none"/>
              </w:rPr>
              <w:t>（1）未中标人响应文件递交截止之日起60天。响应有效期不足的响应文件将被否决。在特殊情况下，采购人可与投标人协商延长响应文件的有效期，这种要求和答复均以书面形式进行。投标人可拒绝接受延期要求而不会导致磋商保证金被没收。同意延长有效期的投标人需要相应延长磋商保证金的有效期，但不能修改响应文件。</w:t>
            </w:r>
          </w:p>
          <w:p w14:paraId="2D92755E">
            <w:pPr>
              <w:spacing w:line="400" w:lineRule="exact"/>
              <w:rPr>
                <w:rFonts w:eastAsiaTheme="minorEastAsia"/>
                <w:highlight w:val="none"/>
              </w:rPr>
            </w:pPr>
            <w:r>
              <w:rPr>
                <w:rFonts w:eastAsiaTheme="minorEastAsia"/>
                <w:highlight w:val="none"/>
              </w:rPr>
              <w:t>（2）中标人的响应文件有效期自响应文件提交截止之日起至合同履行完毕止均应保持有效。</w:t>
            </w:r>
          </w:p>
        </w:tc>
      </w:tr>
      <w:tr w14:paraId="5FA18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45D0857A">
            <w:pPr>
              <w:spacing w:line="400" w:lineRule="exact"/>
              <w:jc w:val="center"/>
              <w:rPr>
                <w:rFonts w:eastAsiaTheme="minorEastAsia"/>
                <w:highlight w:val="none"/>
              </w:rPr>
            </w:pPr>
            <w:r>
              <w:rPr>
                <w:rFonts w:eastAsiaTheme="minorEastAsia"/>
                <w:highlight w:val="none"/>
              </w:rPr>
              <w:t>21</w:t>
            </w:r>
          </w:p>
        </w:tc>
        <w:tc>
          <w:tcPr>
            <w:tcW w:w="1765" w:type="dxa"/>
            <w:vAlign w:val="center"/>
          </w:tcPr>
          <w:p w14:paraId="6F6F9358">
            <w:pPr>
              <w:spacing w:line="400" w:lineRule="exact"/>
              <w:jc w:val="center"/>
              <w:rPr>
                <w:rFonts w:eastAsiaTheme="minorEastAsia"/>
                <w:highlight w:val="none"/>
              </w:rPr>
            </w:pPr>
            <w:r>
              <w:rPr>
                <w:rFonts w:eastAsiaTheme="minorEastAsia"/>
                <w:highlight w:val="none"/>
              </w:rPr>
              <w:t>磋商程序</w:t>
            </w:r>
          </w:p>
        </w:tc>
        <w:tc>
          <w:tcPr>
            <w:tcW w:w="6863" w:type="dxa"/>
          </w:tcPr>
          <w:p w14:paraId="4D66B238">
            <w:pPr>
              <w:tabs>
                <w:tab w:val="left" w:pos="1305"/>
              </w:tabs>
              <w:spacing w:line="400" w:lineRule="exact"/>
              <w:rPr>
                <w:rFonts w:eastAsiaTheme="minorEastAsia"/>
                <w:highlight w:val="none"/>
              </w:rPr>
            </w:pPr>
            <w:r>
              <w:rPr>
                <w:rFonts w:eastAsiaTheme="minorEastAsia"/>
                <w:highlight w:val="none"/>
              </w:rPr>
              <w:t>（1）磋商时间和地点：投标人代表应在接到采购人通知后半小时内到达磋商现场，否则视为自动放弃磋商。</w:t>
            </w:r>
          </w:p>
          <w:p w14:paraId="7C321E96">
            <w:pPr>
              <w:pStyle w:val="4"/>
              <w:spacing w:after="0" w:line="400" w:lineRule="exact"/>
              <w:rPr>
                <w:rFonts w:eastAsiaTheme="minorEastAsia"/>
                <w:highlight w:val="none"/>
              </w:rPr>
            </w:pPr>
            <w:r>
              <w:rPr>
                <w:rFonts w:eastAsiaTheme="minorEastAsia"/>
                <w:highlight w:val="none"/>
              </w:rPr>
              <w:t>（2）磋商代表：投标人可派授权代表1名或法定代表人参加磋商，磋商必须持有效证件。</w:t>
            </w:r>
          </w:p>
          <w:p w14:paraId="42A6A7BD">
            <w:pPr>
              <w:spacing w:line="400" w:lineRule="exact"/>
              <w:jc w:val="left"/>
              <w:rPr>
                <w:rFonts w:eastAsiaTheme="minorEastAsia"/>
                <w:highlight w:val="none"/>
              </w:rPr>
            </w:pPr>
            <w:r>
              <w:rPr>
                <w:rFonts w:eastAsiaTheme="minorEastAsia"/>
                <w:highlight w:val="none"/>
              </w:rPr>
              <w:t>（3）评审小组在磋商中可能实质性变动的内容：项目需求中的技术、服务要求以及合同草案条款。</w:t>
            </w:r>
          </w:p>
          <w:p w14:paraId="7BD4DE45">
            <w:pPr>
              <w:pStyle w:val="4"/>
              <w:spacing w:after="0" w:line="400" w:lineRule="exact"/>
              <w:rPr>
                <w:rFonts w:eastAsiaTheme="minorEastAsia"/>
                <w:highlight w:val="none"/>
              </w:rPr>
            </w:pPr>
            <w:r>
              <w:rPr>
                <w:rFonts w:eastAsiaTheme="minorEastAsia"/>
                <w:highlight w:val="none"/>
              </w:rPr>
              <w:t>（4）磋商流程</w:t>
            </w:r>
          </w:p>
          <w:p w14:paraId="6E2733F3">
            <w:pPr>
              <w:pStyle w:val="4"/>
              <w:spacing w:after="0" w:line="400" w:lineRule="exact"/>
              <w:rPr>
                <w:rFonts w:eastAsiaTheme="minorEastAsia"/>
                <w:highlight w:val="none"/>
              </w:rPr>
            </w:pPr>
            <w:r>
              <w:rPr>
                <w:rFonts w:eastAsiaTheme="minorEastAsia"/>
                <w:highlight w:val="none"/>
              </w:rPr>
              <w:t>①宣布磋商会议开始。</w:t>
            </w:r>
          </w:p>
          <w:p w14:paraId="3C766C3F">
            <w:pPr>
              <w:pStyle w:val="4"/>
              <w:widowControl/>
              <w:spacing w:after="0" w:line="400" w:lineRule="exact"/>
              <w:rPr>
                <w:rFonts w:eastAsiaTheme="minorEastAsia"/>
                <w:highlight w:val="none"/>
              </w:rPr>
            </w:pPr>
            <w:r>
              <w:rPr>
                <w:rFonts w:eastAsiaTheme="minorEastAsia"/>
                <w:highlight w:val="none"/>
              </w:rPr>
              <w:t>②评审响应文件。</w:t>
            </w:r>
          </w:p>
          <w:p w14:paraId="44BD64D5">
            <w:pPr>
              <w:pStyle w:val="4"/>
              <w:widowControl/>
              <w:spacing w:after="0" w:line="400" w:lineRule="exact"/>
              <w:rPr>
                <w:rFonts w:eastAsiaTheme="minorEastAsia"/>
                <w:highlight w:val="none"/>
              </w:rPr>
            </w:pPr>
            <w:r>
              <w:rPr>
                <w:rFonts w:eastAsiaTheme="minorEastAsia"/>
                <w:highlight w:val="none"/>
              </w:rPr>
              <w:t>③磋商。</w:t>
            </w:r>
          </w:p>
          <w:p w14:paraId="49D5BE95">
            <w:pPr>
              <w:pStyle w:val="4"/>
              <w:widowControl/>
              <w:spacing w:after="0" w:line="400" w:lineRule="exact"/>
              <w:rPr>
                <w:rFonts w:eastAsiaTheme="minorEastAsia"/>
                <w:highlight w:val="none"/>
              </w:rPr>
            </w:pPr>
            <w:r>
              <w:rPr>
                <w:rFonts w:eastAsiaTheme="minorEastAsia"/>
                <w:highlight w:val="none"/>
              </w:rPr>
              <w:t>④最后报价。</w:t>
            </w:r>
          </w:p>
          <w:p w14:paraId="6B4C8FFF">
            <w:pPr>
              <w:pStyle w:val="4"/>
              <w:widowControl/>
              <w:spacing w:after="0" w:line="400" w:lineRule="exact"/>
              <w:rPr>
                <w:rFonts w:eastAsiaTheme="minorEastAsia"/>
                <w:highlight w:val="none"/>
              </w:rPr>
            </w:pPr>
            <w:r>
              <w:rPr>
                <w:rFonts w:eastAsiaTheme="minorEastAsia"/>
                <w:highlight w:val="none"/>
              </w:rPr>
              <w:t>⑤推荐中标人候选人名单。</w:t>
            </w:r>
          </w:p>
        </w:tc>
      </w:tr>
      <w:tr w14:paraId="5FC1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21" w:type="dxa"/>
            <w:vAlign w:val="center"/>
          </w:tcPr>
          <w:p w14:paraId="6E8B457A">
            <w:pPr>
              <w:spacing w:line="400" w:lineRule="exact"/>
              <w:jc w:val="center"/>
              <w:rPr>
                <w:rFonts w:eastAsiaTheme="minorEastAsia"/>
                <w:highlight w:val="none"/>
              </w:rPr>
            </w:pPr>
            <w:r>
              <w:rPr>
                <w:rFonts w:eastAsiaTheme="minorEastAsia"/>
                <w:highlight w:val="none"/>
              </w:rPr>
              <w:t>22</w:t>
            </w:r>
          </w:p>
        </w:tc>
        <w:tc>
          <w:tcPr>
            <w:tcW w:w="1765" w:type="dxa"/>
            <w:vAlign w:val="center"/>
          </w:tcPr>
          <w:p w14:paraId="4DEDE82D">
            <w:pPr>
              <w:spacing w:line="400" w:lineRule="exact"/>
              <w:jc w:val="center"/>
              <w:rPr>
                <w:rFonts w:eastAsiaTheme="minorEastAsia"/>
                <w:highlight w:val="none"/>
              </w:rPr>
            </w:pPr>
            <w:r>
              <w:rPr>
                <w:rFonts w:eastAsiaTheme="minorEastAsia"/>
                <w:highlight w:val="none"/>
              </w:rPr>
              <w:t>采购结果公示</w:t>
            </w:r>
          </w:p>
        </w:tc>
        <w:tc>
          <w:tcPr>
            <w:tcW w:w="6863" w:type="dxa"/>
            <w:vAlign w:val="center"/>
          </w:tcPr>
          <w:p w14:paraId="10563A14">
            <w:pPr>
              <w:pStyle w:val="4"/>
              <w:spacing w:after="0" w:line="400" w:lineRule="exact"/>
              <w:rPr>
                <w:rFonts w:eastAsiaTheme="minorEastAsia"/>
                <w:highlight w:val="none"/>
              </w:rPr>
            </w:pPr>
            <w:r>
              <w:rPr>
                <w:rFonts w:eastAsiaTheme="minorEastAsia"/>
                <w:highlight w:val="none"/>
              </w:rPr>
              <w:t>采购结果公示发布于桂林银行股份有限公司官网https://www.guilinbank.com.cn/</w:t>
            </w:r>
          </w:p>
        </w:tc>
      </w:tr>
      <w:tr w14:paraId="13C2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6A6F9B42">
            <w:pPr>
              <w:spacing w:line="400" w:lineRule="exact"/>
              <w:jc w:val="center"/>
              <w:rPr>
                <w:rFonts w:eastAsiaTheme="minorEastAsia"/>
                <w:highlight w:val="none"/>
              </w:rPr>
            </w:pPr>
            <w:r>
              <w:rPr>
                <w:rFonts w:eastAsiaTheme="minorEastAsia"/>
                <w:highlight w:val="none"/>
              </w:rPr>
              <w:t>23</w:t>
            </w:r>
          </w:p>
        </w:tc>
        <w:tc>
          <w:tcPr>
            <w:tcW w:w="1765" w:type="dxa"/>
            <w:vAlign w:val="center"/>
          </w:tcPr>
          <w:p w14:paraId="08947CEF">
            <w:pPr>
              <w:spacing w:line="400" w:lineRule="exact"/>
              <w:jc w:val="center"/>
              <w:rPr>
                <w:rFonts w:eastAsiaTheme="minorEastAsia"/>
                <w:highlight w:val="none"/>
              </w:rPr>
            </w:pPr>
            <w:r>
              <w:rPr>
                <w:rFonts w:eastAsiaTheme="minorEastAsia"/>
                <w:highlight w:val="none"/>
              </w:rPr>
              <w:t>签订合同</w:t>
            </w:r>
          </w:p>
        </w:tc>
        <w:tc>
          <w:tcPr>
            <w:tcW w:w="6863" w:type="dxa"/>
          </w:tcPr>
          <w:p w14:paraId="561F2946">
            <w:pPr>
              <w:spacing w:line="400" w:lineRule="exact"/>
              <w:rPr>
                <w:rFonts w:eastAsiaTheme="minorEastAsia"/>
                <w:highlight w:val="none"/>
              </w:rPr>
            </w:pPr>
            <w:r>
              <w:rPr>
                <w:rFonts w:eastAsiaTheme="minorEastAsia"/>
                <w:highlight w:val="none"/>
              </w:rPr>
              <w:t>（1）排名</w:t>
            </w:r>
            <w:r>
              <w:rPr>
                <w:rFonts w:hint="eastAsia" w:eastAsiaTheme="minorEastAsia"/>
                <w:b/>
                <w:bCs/>
                <w:sz w:val="24"/>
                <w:szCs w:val="24"/>
                <w:highlight w:val="none"/>
              </w:rPr>
              <w:t>第1</w:t>
            </w:r>
            <w:r>
              <w:rPr>
                <w:rFonts w:eastAsiaTheme="minorEastAsia"/>
                <w:highlight w:val="none"/>
              </w:rPr>
              <w:t>的中标人领取合作通知书后，应当自合作通知书发出之日起30日内，按照磋商文件和响应文件的规定，与采购人签订书面合同。若中标人拒绝与采购人签订合同的，采购人可以按照评审报告得分排序，确定下一投标人为中标人，也可以重新开展采购活动。</w:t>
            </w:r>
          </w:p>
          <w:p w14:paraId="0AFCA8F9">
            <w:pPr>
              <w:spacing w:line="400" w:lineRule="exact"/>
              <w:rPr>
                <w:rFonts w:eastAsiaTheme="minorEastAsia"/>
                <w:highlight w:val="none"/>
              </w:rPr>
            </w:pPr>
            <w:r>
              <w:rPr>
                <w:rFonts w:eastAsiaTheme="minorEastAsia"/>
                <w:highlight w:val="none"/>
              </w:rPr>
              <w:t>所签订的合同不得对磋商文件确定的事项和中标人响应文件作实质性修改。</w:t>
            </w:r>
          </w:p>
          <w:p w14:paraId="44EFD4E1">
            <w:pPr>
              <w:spacing w:line="400" w:lineRule="exact"/>
              <w:rPr>
                <w:rFonts w:eastAsiaTheme="minorEastAsia"/>
                <w:highlight w:val="none"/>
              </w:rPr>
            </w:pPr>
            <w:r>
              <w:rPr>
                <w:rFonts w:eastAsiaTheme="minorEastAsia"/>
                <w:highlight w:val="none"/>
              </w:rPr>
              <w:t>（2）采购人与中标人签订合同后，采购合同的履行、违约责任和解决争议的方法等适用《中华人民共和国民法典》。合同双方应严格执行合同条款，履行合同规定的义务，保证合同的顺利完成。双方均不得擅自变更、中止或者终止采购合同。</w:t>
            </w:r>
          </w:p>
          <w:p w14:paraId="5F9E7828">
            <w:pPr>
              <w:spacing w:line="400" w:lineRule="exact"/>
              <w:rPr>
                <w:rFonts w:eastAsiaTheme="minorEastAsia"/>
                <w:highlight w:val="none"/>
              </w:rPr>
            </w:pPr>
            <w:r>
              <w:rPr>
                <w:rFonts w:eastAsiaTheme="minorEastAsia"/>
                <w:highlight w:val="none"/>
              </w:rPr>
              <w:t>（3）如中标人有下列情形之一的，将其列入不良行为记录名单，在一至三年内禁止参加桂林银行采购活动，并予以通报。采购人可从评审委员会推荐的中标候选人中按顺序重新确定中标人，组织供需双方签订合同或重新组织采购。</w:t>
            </w:r>
          </w:p>
          <w:p w14:paraId="1AF8F421">
            <w:pPr>
              <w:spacing w:line="400" w:lineRule="exact"/>
              <w:rPr>
                <w:rFonts w:eastAsiaTheme="minorEastAsia"/>
                <w:highlight w:val="none"/>
              </w:rPr>
            </w:pPr>
            <w:r>
              <w:rPr>
                <w:rFonts w:eastAsiaTheme="minorEastAsia"/>
                <w:highlight w:val="none"/>
              </w:rPr>
              <w:t>①中标后不与采购人签订合同的（不可抗力除外）；</w:t>
            </w:r>
          </w:p>
          <w:p w14:paraId="7D48607A">
            <w:pPr>
              <w:spacing w:line="400" w:lineRule="exact"/>
              <w:rPr>
                <w:rFonts w:eastAsiaTheme="minorEastAsia"/>
                <w:highlight w:val="none"/>
              </w:rPr>
            </w:pPr>
            <w:r>
              <w:rPr>
                <w:rFonts w:eastAsiaTheme="minorEastAsia"/>
                <w:highlight w:val="none"/>
              </w:rPr>
              <w:t>②将中标项目转让给他人，或者在响应文件中未说明，且未经采购人同意，将中标项目分包给他人的；</w:t>
            </w:r>
          </w:p>
          <w:p w14:paraId="34E81519">
            <w:pPr>
              <w:spacing w:line="400" w:lineRule="exact"/>
              <w:rPr>
                <w:rFonts w:eastAsiaTheme="minorEastAsia"/>
                <w:highlight w:val="none"/>
              </w:rPr>
            </w:pPr>
            <w:r>
              <w:rPr>
                <w:rFonts w:eastAsiaTheme="minorEastAsia"/>
                <w:highlight w:val="none"/>
              </w:rPr>
              <w:t>③拒绝履行合同义务的。</w:t>
            </w:r>
          </w:p>
        </w:tc>
      </w:tr>
      <w:tr w14:paraId="02B1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00C76DC7">
            <w:pPr>
              <w:spacing w:line="400" w:lineRule="exact"/>
              <w:jc w:val="center"/>
              <w:rPr>
                <w:rFonts w:eastAsiaTheme="minorEastAsia"/>
                <w:highlight w:val="none"/>
              </w:rPr>
            </w:pPr>
            <w:r>
              <w:rPr>
                <w:rFonts w:eastAsiaTheme="minorEastAsia"/>
                <w:highlight w:val="none"/>
              </w:rPr>
              <w:t>24</w:t>
            </w:r>
          </w:p>
        </w:tc>
        <w:tc>
          <w:tcPr>
            <w:tcW w:w="1765" w:type="dxa"/>
            <w:vAlign w:val="center"/>
          </w:tcPr>
          <w:p w14:paraId="4F5DDD96">
            <w:pPr>
              <w:spacing w:line="400" w:lineRule="exact"/>
              <w:jc w:val="center"/>
              <w:rPr>
                <w:rFonts w:eastAsiaTheme="minorEastAsia"/>
                <w:highlight w:val="none"/>
              </w:rPr>
            </w:pPr>
            <w:r>
              <w:rPr>
                <w:rFonts w:eastAsiaTheme="minorEastAsia"/>
                <w:highlight w:val="none"/>
              </w:rPr>
              <w:t>定义或说明</w:t>
            </w:r>
          </w:p>
        </w:tc>
        <w:tc>
          <w:tcPr>
            <w:tcW w:w="6863" w:type="dxa"/>
          </w:tcPr>
          <w:p w14:paraId="38B7F0F3">
            <w:pPr>
              <w:spacing w:line="400" w:lineRule="exact"/>
              <w:rPr>
                <w:rFonts w:eastAsiaTheme="minorEastAsia"/>
                <w:highlight w:val="none"/>
              </w:rPr>
            </w:pPr>
            <w:r>
              <w:rPr>
                <w:rFonts w:eastAsiaTheme="minorEastAsia"/>
                <w:highlight w:val="none"/>
              </w:rPr>
              <w:t>（1）“采购人”是指桂林银行股份有限公司。</w:t>
            </w:r>
          </w:p>
          <w:p w14:paraId="4B2CA36E">
            <w:pPr>
              <w:spacing w:line="400" w:lineRule="exact"/>
              <w:rPr>
                <w:rFonts w:eastAsiaTheme="minorEastAsia"/>
                <w:highlight w:val="none"/>
              </w:rPr>
            </w:pPr>
            <w:r>
              <w:rPr>
                <w:rFonts w:eastAsiaTheme="minorEastAsia"/>
                <w:highlight w:val="none"/>
              </w:rPr>
              <w:t>（2）“磋商投标人”是指符合本次磋商项目的投标人资格并提交响应文件的投标人（以下简称“投标人”）。</w:t>
            </w:r>
          </w:p>
          <w:p w14:paraId="48382E8A">
            <w:pPr>
              <w:spacing w:line="400" w:lineRule="exact"/>
              <w:rPr>
                <w:rFonts w:eastAsiaTheme="minorEastAsia"/>
                <w:highlight w:val="none"/>
              </w:rPr>
            </w:pPr>
            <w:r>
              <w:rPr>
                <w:rFonts w:eastAsiaTheme="minorEastAsia"/>
                <w:highlight w:val="none"/>
              </w:rPr>
              <w:t>（3）“响应文件”是指投标人按照磋商文件要求编写，并向采购人递交的有效的文字说明、表格、图表等文件，如投标人对响应文件进行有效的补充、修改、澄清或说明则该补充、修改、澄清和说明构成响应文件不可分割的一部分（以下简称“响应文件”）。</w:t>
            </w:r>
          </w:p>
          <w:p w14:paraId="669DB6ED">
            <w:pPr>
              <w:spacing w:line="400" w:lineRule="exact"/>
              <w:rPr>
                <w:rFonts w:eastAsiaTheme="minorEastAsia"/>
                <w:highlight w:val="none"/>
              </w:rPr>
            </w:pPr>
            <w:r>
              <w:rPr>
                <w:rFonts w:eastAsiaTheme="minorEastAsia"/>
                <w:highlight w:val="none"/>
              </w:rPr>
              <w:t>（4）“服务”是指磋商文件规定，投标人须承担的系统开发、测试、部署、调试、技术协助、校准、培训、技术指导以及其他类似的义务。</w:t>
            </w:r>
          </w:p>
          <w:p w14:paraId="63DC70F6">
            <w:pPr>
              <w:spacing w:line="400" w:lineRule="exact"/>
              <w:rPr>
                <w:rFonts w:eastAsiaTheme="minorEastAsia"/>
                <w:highlight w:val="none"/>
              </w:rPr>
            </w:pPr>
            <w:r>
              <w:rPr>
                <w:rFonts w:eastAsiaTheme="minorEastAsia"/>
                <w:highlight w:val="none"/>
              </w:rPr>
              <w:t>（5）“书面形式”包括信函、传真、电报、电子邮件。</w:t>
            </w:r>
          </w:p>
          <w:p w14:paraId="0A3B7413">
            <w:pPr>
              <w:snapToGrid w:val="0"/>
              <w:spacing w:line="400" w:lineRule="exact"/>
              <w:rPr>
                <w:rFonts w:eastAsiaTheme="minorEastAsia"/>
                <w:highlight w:val="none"/>
              </w:rPr>
            </w:pPr>
            <w:r>
              <w:rPr>
                <w:rFonts w:eastAsiaTheme="minorEastAsia"/>
                <w:highlight w:val="none"/>
              </w:rPr>
              <w:t>（6）投标人应保证其提供的联系方式（电话、传真、电子邮件）有效，以保证往来函件（澄清、修改等）能及时通知投标人，并能及时反馈，否则采购人不承担由此引起的一切后果。</w:t>
            </w:r>
          </w:p>
          <w:p w14:paraId="1AB7268D">
            <w:pPr>
              <w:pStyle w:val="4"/>
              <w:spacing w:after="0" w:line="400" w:lineRule="exact"/>
              <w:rPr>
                <w:rFonts w:eastAsiaTheme="minorEastAsia"/>
                <w:highlight w:val="none"/>
              </w:rPr>
            </w:pPr>
            <w:r>
              <w:rPr>
                <w:rFonts w:eastAsiaTheme="minorEastAsia"/>
                <w:highlight w:val="none"/>
              </w:rPr>
              <w:t>（7）本项目所有响应文件均不予退还。</w:t>
            </w:r>
          </w:p>
          <w:p w14:paraId="2A3DB0BB">
            <w:pPr>
              <w:tabs>
                <w:tab w:val="left" w:pos="1635"/>
              </w:tabs>
              <w:spacing w:line="400" w:lineRule="exact"/>
              <w:rPr>
                <w:rFonts w:eastAsiaTheme="minorEastAsia"/>
                <w:highlight w:val="none"/>
              </w:rPr>
            </w:pPr>
            <w:r>
              <w:rPr>
                <w:rFonts w:eastAsiaTheme="minorEastAsia"/>
                <w:highlight w:val="none"/>
              </w:rPr>
              <w:t>（8）投标人磋商所使用的资格、信誉、荣誉、业绩与企业认证必须为本法人所拥有。</w:t>
            </w:r>
          </w:p>
          <w:p w14:paraId="6072B464">
            <w:pPr>
              <w:tabs>
                <w:tab w:val="left" w:pos="1635"/>
              </w:tabs>
              <w:spacing w:line="400" w:lineRule="exact"/>
              <w:rPr>
                <w:rFonts w:eastAsiaTheme="minorEastAsia"/>
                <w:highlight w:val="none"/>
              </w:rPr>
            </w:pPr>
            <w:r>
              <w:rPr>
                <w:rFonts w:eastAsiaTheme="minorEastAsia"/>
                <w:highlight w:val="none"/>
              </w:rPr>
              <w:t>（9）投标人应仔细阅读磋商文件的所有内容，按照磋商文件的要求提交响应文件，并对所提供的全部资料的真实性承担法律责任。</w:t>
            </w:r>
          </w:p>
          <w:p w14:paraId="18850906">
            <w:pPr>
              <w:tabs>
                <w:tab w:val="left" w:pos="1635"/>
              </w:tabs>
              <w:spacing w:line="400" w:lineRule="exact"/>
              <w:rPr>
                <w:rFonts w:eastAsiaTheme="minorEastAsia"/>
                <w:highlight w:val="none"/>
              </w:rPr>
            </w:pPr>
            <w:r>
              <w:rPr>
                <w:rFonts w:eastAsiaTheme="minorEastAsia"/>
                <w:highlight w:val="none"/>
              </w:rPr>
              <w:t>（10）投标人在磋商活动中提供任何虚假材料，其报价无效；中标后发现的，中标人须依照《中华人民共和国消费者权益保护法》第49条之规定双倍赔偿采购人，且民事赔偿并不免除违法磋商投标人的行政与刑事责任。</w:t>
            </w:r>
          </w:p>
          <w:p w14:paraId="3CC2BC60">
            <w:pPr>
              <w:tabs>
                <w:tab w:val="left" w:pos="1635"/>
              </w:tabs>
              <w:spacing w:line="400" w:lineRule="exact"/>
              <w:rPr>
                <w:rFonts w:eastAsiaTheme="minorEastAsia"/>
                <w:highlight w:val="none"/>
              </w:rPr>
            </w:pPr>
            <w:r>
              <w:rPr>
                <w:rFonts w:eastAsiaTheme="minorEastAsia"/>
                <w:highlight w:val="none"/>
              </w:rPr>
              <w:t>（11）投标人应自行承担所有与编写和提交响应文件有关的费用，不论磋商结果如何，采购人在任何情况下无义务和责任承担此类费用。</w:t>
            </w:r>
          </w:p>
          <w:p w14:paraId="4F628542">
            <w:pPr>
              <w:tabs>
                <w:tab w:val="left" w:pos="1305"/>
              </w:tabs>
              <w:spacing w:line="400" w:lineRule="exact"/>
              <w:rPr>
                <w:rFonts w:eastAsiaTheme="minorEastAsia"/>
                <w:highlight w:val="none"/>
              </w:rPr>
            </w:pPr>
            <w:r>
              <w:rPr>
                <w:rFonts w:eastAsiaTheme="minorEastAsia"/>
                <w:highlight w:val="none"/>
              </w:rPr>
              <w:t>（12）响应文件以及投标人与采购人就有关磋商事宜的所有来往函电，均应以中文汉语书写。投标人提交的支持文件和印刷的文献可以使用别的语言，但其相应内容必须附有中文翻译文本，在解释响应文件时，以中文翻译文本为准。</w:t>
            </w:r>
          </w:p>
          <w:p w14:paraId="2E93B43E">
            <w:pPr>
              <w:tabs>
                <w:tab w:val="left" w:pos="1305"/>
              </w:tabs>
              <w:spacing w:line="400" w:lineRule="exact"/>
              <w:rPr>
                <w:rFonts w:eastAsiaTheme="minorEastAsia"/>
                <w:highlight w:val="none"/>
              </w:rPr>
            </w:pPr>
            <w:r>
              <w:rPr>
                <w:rFonts w:eastAsiaTheme="minorEastAsia"/>
                <w:highlight w:val="none"/>
              </w:rPr>
              <w:t>（13）磋商计量单位，磋商文件已有明确规定的，使用磋商文件规定的计量单位；磋商文件没有规定的，应采用中华人民共和国法定计量单位（货币单位：人民币元），否则视同未响应。</w:t>
            </w:r>
          </w:p>
        </w:tc>
      </w:tr>
      <w:tr w14:paraId="254B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7E743B08">
            <w:pPr>
              <w:spacing w:line="400" w:lineRule="exact"/>
              <w:jc w:val="center"/>
              <w:rPr>
                <w:rFonts w:eastAsiaTheme="minorEastAsia"/>
                <w:highlight w:val="none"/>
              </w:rPr>
            </w:pPr>
            <w:r>
              <w:rPr>
                <w:rFonts w:eastAsiaTheme="minorEastAsia"/>
                <w:highlight w:val="none"/>
              </w:rPr>
              <w:t>25</w:t>
            </w:r>
          </w:p>
        </w:tc>
        <w:tc>
          <w:tcPr>
            <w:tcW w:w="1765" w:type="dxa"/>
            <w:vAlign w:val="center"/>
          </w:tcPr>
          <w:p w14:paraId="11395096">
            <w:pPr>
              <w:spacing w:line="400" w:lineRule="exact"/>
              <w:jc w:val="center"/>
              <w:rPr>
                <w:rFonts w:eastAsiaTheme="minorEastAsia"/>
                <w:highlight w:val="none"/>
              </w:rPr>
            </w:pPr>
            <w:r>
              <w:rPr>
                <w:rFonts w:eastAsiaTheme="minorEastAsia"/>
                <w:highlight w:val="none"/>
              </w:rPr>
              <w:t>解释权</w:t>
            </w:r>
          </w:p>
        </w:tc>
        <w:tc>
          <w:tcPr>
            <w:tcW w:w="6863" w:type="dxa"/>
          </w:tcPr>
          <w:p w14:paraId="1DBF71EA">
            <w:pPr>
              <w:spacing w:line="400" w:lineRule="exact"/>
              <w:rPr>
                <w:rFonts w:eastAsiaTheme="minorEastAsia"/>
                <w:highlight w:val="none"/>
              </w:rPr>
            </w:pPr>
            <w:r>
              <w:rPr>
                <w:rFonts w:eastAsiaTheme="minorEastAsia"/>
                <w:highlight w:val="none"/>
              </w:rPr>
              <w:t>本磋商文件参照有关法律法规和采购管理的有关规定及参照国际惯例编制，解释权属于采购人。</w:t>
            </w:r>
          </w:p>
        </w:tc>
      </w:tr>
      <w:tr w14:paraId="1E3B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78F5E732">
            <w:pPr>
              <w:spacing w:line="400" w:lineRule="exact"/>
              <w:jc w:val="center"/>
              <w:rPr>
                <w:rFonts w:eastAsiaTheme="minorEastAsia"/>
                <w:highlight w:val="none"/>
              </w:rPr>
            </w:pPr>
            <w:r>
              <w:rPr>
                <w:rFonts w:eastAsiaTheme="minorEastAsia"/>
                <w:highlight w:val="none"/>
              </w:rPr>
              <w:t>26</w:t>
            </w:r>
          </w:p>
        </w:tc>
        <w:tc>
          <w:tcPr>
            <w:tcW w:w="1765" w:type="dxa"/>
            <w:vAlign w:val="center"/>
          </w:tcPr>
          <w:p w14:paraId="21783965">
            <w:pPr>
              <w:spacing w:line="400" w:lineRule="exact"/>
              <w:jc w:val="center"/>
              <w:rPr>
                <w:rFonts w:eastAsiaTheme="minorEastAsia"/>
                <w:highlight w:val="none"/>
              </w:rPr>
            </w:pPr>
            <w:r>
              <w:rPr>
                <w:rFonts w:eastAsiaTheme="minorEastAsia"/>
                <w:highlight w:val="none"/>
              </w:rPr>
              <w:t>质疑</w:t>
            </w:r>
          </w:p>
        </w:tc>
        <w:tc>
          <w:tcPr>
            <w:tcW w:w="6863" w:type="dxa"/>
          </w:tcPr>
          <w:p w14:paraId="60114BC3">
            <w:pPr>
              <w:tabs>
                <w:tab w:val="left" w:pos="2190"/>
              </w:tabs>
              <w:spacing w:line="400" w:lineRule="exact"/>
              <w:rPr>
                <w:rFonts w:eastAsiaTheme="minorEastAsia"/>
                <w:highlight w:val="none"/>
              </w:rPr>
            </w:pPr>
            <w:r>
              <w:rPr>
                <w:rFonts w:eastAsiaTheme="minorEastAsia"/>
                <w:highlight w:val="none"/>
              </w:rPr>
              <w:t>（1）投标人认为响应文件、磋商过程或中标结果使自己的合法权益受到损害的，应当在知道或者应知其权益受到损害之日起3个工作日内，以书面形式向采购人提出质疑，采购人应认真做好质疑处理工作。</w:t>
            </w:r>
          </w:p>
          <w:p w14:paraId="5A41DFF0">
            <w:pPr>
              <w:spacing w:line="400" w:lineRule="exact"/>
              <w:rPr>
                <w:rFonts w:eastAsiaTheme="minorEastAsia"/>
                <w:highlight w:val="none"/>
              </w:rPr>
            </w:pPr>
            <w:r>
              <w:rPr>
                <w:rFonts w:eastAsiaTheme="minorEastAsia"/>
                <w:highlight w:val="none"/>
              </w:rPr>
              <w:t>（2）质疑、投诉应当采用书面形式，质疑书、投诉书实行实名制，均应明确阐述响应文件、磋商过程或中标结果中使自己合法权益受到损害的实质性内容，提供相关事实、依据和证据及其来源或线索，便于有关部门调查、答复和处理。</w:t>
            </w:r>
          </w:p>
        </w:tc>
      </w:tr>
      <w:tr w14:paraId="6576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46F4196F">
            <w:pPr>
              <w:spacing w:line="400" w:lineRule="exact"/>
              <w:jc w:val="center"/>
              <w:rPr>
                <w:rFonts w:eastAsiaTheme="minorEastAsia"/>
                <w:highlight w:val="none"/>
              </w:rPr>
            </w:pPr>
            <w:r>
              <w:rPr>
                <w:rFonts w:eastAsiaTheme="minorEastAsia"/>
                <w:highlight w:val="none"/>
              </w:rPr>
              <w:t>27</w:t>
            </w:r>
          </w:p>
        </w:tc>
        <w:tc>
          <w:tcPr>
            <w:tcW w:w="1765" w:type="dxa"/>
            <w:vAlign w:val="center"/>
          </w:tcPr>
          <w:p w14:paraId="01711ABC">
            <w:pPr>
              <w:spacing w:line="400" w:lineRule="exact"/>
              <w:jc w:val="center"/>
              <w:rPr>
                <w:rFonts w:eastAsiaTheme="minorEastAsia"/>
                <w:highlight w:val="none"/>
              </w:rPr>
            </w:pPr>
            <w:r>
              <w:rPr>
                <w:rFonts w:eastAsiaTheme="minorEastAsia"/>
                <w:highlight w:val="none"/>
              </w:rPr>
              <w:t>监督及投诉</w:t>
            </w:r>
          </w:p>
        </w:tc>
        <w:tc>
          <w:tcPr>
            <w:tcW w:w="6863" w:type="dxa"/>
          </w:tcPr>
          <w:p w14:paraId="310B98E3">
            <w:pPr>
              <w:tabs>
                <w:tab w:val="left" w:pos="2190"/>
              </w:tabs>
              <w:spacing w:line="400" w:lineRule="exact"/>
              <w:rPr>
                <w:rFonts w:eastAsiaTheme="minorEastAsia"/>
                <w:highlight w:val="none"/>
              </w:rPr>
            </w:pPr>
            <w:r>
              <w:rPr>
                <w:rFonts w:eastAsiaTheme="minorEastAsia"/>
                <w:highlight w:val="none"/>
              </w:rPr>
              <w:t>投标人对采购人的答复不满意或者采购人未在规定的时间内作出答复的，可以在答复期满后十五个工作日内向桂林银行监察部门提出投诉。监察部门联系方式：</w:t>
            </w:r>
          </w:p>
          <w:p w14:paraId="12D3F401">
            <w:pPr>
              <w:tabs>
                <w:tab w:val="left" w:pos="2190"/>
              </w:tabs>
              <w:spacing w:line="400" w:lineRule="exact"/>
              <w:rPr>
                <w:rFonts w:eastAsiaTheme="minorEastAsia"/>
                <w:highlight w:val="none"/>
              </w:rPr>
            </w:pPr>
            <w:r>
              <w:rPr>
                <w:rFonts w:eastAsiaTheme="minorEastAsia"/>
                <w:highlight w:val="none"/>
              </w:rPr>
              <w:t>联系人：桂林银行股份有限公司党委纪律检查办公室</w:t>
            </w:r>
          </w:p>
          <w:p w14:paraId="4D80A7BA">
            <w:pPr>
              <w:tabs>
                <w:tab w:val="left" w:pos="2190"/>
              </w:tabs>
              <w:spacing w:line="400" w:lineRule="exact"/>
              <w:rPr>
                <w:rFonts w:eastAsiaTheme="minorEastAsia"/>
                <w:highlight w:val="none"/>
              </w:rPr>
            </w:pPr>
            <w:r>
              <w:rPr>
                <w:rFonts w:eastAsiaTheme="minorEastAsia"/>
                <w:highlight w:val="none"/>
              </w:rPr>
              <w:t>联系电话：0773-3687234</w:t>
            </w:r>
          </w:p>
          <w:p w14:paraId="4E7276C5">
            <w:pPr>
              <w:spacing w:line="400" w:lineRule="exact"/>
              <w:rPr>
                <w:rFonts w:eastAsiaTheme="minorEastAsia"/>
                <w:highlight w:val="none"/>
              </w:rPr>
            </w:pPr>
            <w:r>
              <w:rPr>
                <w:rFonts w:eastAsiaTheme="minorEastAsia"/>
                <w:highlight w:val="none"/>
              </w:rPr>
              <w:t>地址：桂林市临桂区公园北路8号金融大厦八楼</w:t>
            </w:r>
          </w:p>
          <w:p w14:paraId="6458FF86">
            <w:pPr>
              <w:spacing w:line="400" w:lineRule="exact"/>
              <w:rPr>
                <w:rFonts w:eastAsiaTheme="minorEastAsia"/>
                <w:highlight w:val="none"/>
              </w:rPr>
            </w:pPr>
            <w:r>
              <w:rPr>
                <w:rFonts w:eastAsiaTheme="minorEastAsia"/>
                <w:highlight w:val="none"/>
              </w:rPr>
              <w:t>邮箱：jjb@guilinbank.com.cn</w:t>
            </w:r>
          </w:p>
        </w:tc>
      </w:tr>
    </w:tbl>
    <w:p w14:paraId="5A0F825C">
      <w:pPr>
        <w:spacing w:line="400" w:lineRule="exact"/>
        <w:rPr>
          <w:b/>
          <w:bCs/>
          <w:sz w:val="28"/>
          <w:szCs w:val="28"/>
          <w:highlight w:val="none"/>
        </w:rPr>
        <w:sectPr>
          <w:headerReference r:id="rId6" w:type="default"/>
          <w:footerReference r:id="rId7" w:type="default"/>
          <w:pgSz w:w="11905" w:h="16838"/>
          <w:pgMar w:top="1417" w:right="1361" w:bottom="1417" w:left="1361" w:header="850" w:footer="992" w:gutter="0"/>
          <w:cols w:space="0" w:num="1"/>
          <w:docGrid w:type="lines" w:linePitch="312" w:charSpace="0"/>
        </w:sectPr>
      </w:pPr>
    </w:p>
    <w:p w14:paraId="5CA43AD7">
      <w:pPr>
        <w:pStyle w:val="40"/>
        <w:rPr>
          <w:highlight w:val="none"/>
        </w:rPr>
      </w:pPr>
      <w:bookmarkStart w:id="98" w:name="_Toc5599"/>
      <w:bookmarkStart w:id="99" w:name="_Toc13939"/>
      <w:bookmarkStart w:id="100" w:name="_Toc22989"/>
      <w:bookmarkStart w:id="101" w:name="_Toc26871"/>
      <w:bookmarkStart w:id="102" w:name="_Toc28969"/>
      <w:bookmarkStart w:id="103" w:name="_Toc23021"/>
      <w:bookmarkStart w:id="104" w:name="_Toc20167"/>
      <w:bookmarkStart w:id="105" w:name="_Toc6561"/>
      <w:bookmarkStart w:id="106" w:name="_Toc10489"/>
      <w:bookmarkStart w:id="107" w:name="_Toc24423"/>
      <w:bookmarkStart w:id="108" w:name="_Toc1183"/>
      <w:bookmarkStart w:id="109" w:name="_Toc18975"/>
      <w:bookmarkStart w:id="110" w:name="_Toc12257"/>
      <w:bookmarkStart w:id="111" w:name="_Toc9951098"/>
      <w:bookmarkStart w:id="112" w:name="_Toc12875"/>
      <w:bookmarkStart w:id="113" w:name="_Toc7432"/>
      <w:bookmarkStart w:id="114" w:name="_Toc5081"/>
      <w:bookmarkStart w:id="115" w:name="_Toc2169"/>
      <w:bookmarkStart w:id="116" w:name="_Toc25824"/>
      <w:bookmarkStart w:id="117" w:name="_Toc13323"/>
      <w:bookmarkStart w:id="118" w:name="_Toc15790"/>
      <w:bookmarkStart w:id="119" w:name="_Toc17417"/>
      <w:bookmarkStart w:id="120" w:name="_Toc21561"/>
      <w:bookmarkStart w:id="121" w:name="_Toc21311"/>
      <w:bookmarkStart w:id="122" w:name="_Toc20390"/>
      <w:bookmarkStart w:id="123" w:name="_Toc21479"/>
      <w:bookmarkStart w:id="124" w:name="_Toc19029"/>
      <w:bookmarkStart w:id="125" w:name="_Toc853"/>
      <w:bookmarkStart w:id="126" w:name="_Toc24199"/>
      <w:bookmarkStart w:id="127" w:name="_Toc21533"/>
      <w:bookmarkStart w:id="128" w:name="_Toc6736"/>
      <w:bookmarkStart w:id="129" w:name="_Toc8248"/>
      <w:bookmarkStart w:id="130" w:name="_Toc5694"/>
      <w:bookmarkStart w:id="131" w:name="_Toc17934"/>
      <w:bookmarkStart w:id="132" w:name="_Toc3063"/>
      <w:bookmarkStart w:id="133" w:name="_Toc879"/>
      <w:bookmarkStart w:id="134" w:name="_Toc30610"/>
      <w:bookmarkStart w:id="135" w:name="_Toc2576"/>
      <w:bookmarkStart w:id="136" w:name="_Toc335"/>
      <w:r>
        <w:rPr>
          <w:rFonts w:hint="eastAsia"/>
          <w:highlight w:val="none"/>
        </w:rPr>
        <w:t>第三章　项目需求</w:t>
      </w:r>
      <w:bookmarkEnd w:id="98"/>
      <w:bookmarkEnd w:id="99"/>
      <w:bookmarkEnd w:id="100"/>
      <w:bookmarkEnd w:id="101"/>
      <w:bookmarkEnd w:id="102"/>
      <w:bookmarkEnd w:id="103"/>
      <w:bookmarkEnd w:id="104"/>
      <w:bookmarkEnd w:id="105"/>
      <w:bookmarkEnd w:id="106"/>
      <w:bookmarkEnd w:id="107"/>
      <w:bookmarkEnd w:id="108"/>
      <w:bookmarkEnd w:id="109"/>
      <w:bookmarkEnd w:id="110"/>
    </w:p>
    <w:p w14:paraId="39DFFBBE">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Theme="minorEastAsia" w:hAnsiTheme="minorEastAsia" w:eastAsiaTheme="minorEastAsia" w:cstheme="minorEastAsia"/>
          <w:highlight w:val="none"/>
        </w:rPr>
      </w:pPr>
    </w:p>
    <w:p w14:paraId="4627442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一、项目简介</w:t>
      </w:r>
    </w:p>
    <w:p w14:paraId="5138AD5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为贯彻落实我行（2025-2027）信息科技发展战略，加速全行数字化转型，</w:t>
      </w:r>
      <w:r>
        <w:rPr>
          <w:rFonts w:hint="eastAsia" w:asciiTheme="minorEastAsia" w:hAnsiTheme="minorEastAsia" w:eastAsiaTheme="minorEastAsia" w:cstheme="minorEastAsia"/>
          <w:highlight w:val="none"/>
          <w:lang w:val="en-US" w:eastAsia="zh-CN"/>
        </w:rPr>
        <w:t>拟</w:t>
      </w:r>
      <w:r>
        <w:rPr>
          <w:rFonts w:hint="eastAsia" w:asciiTheme="minorEastAsia" w:hAnsiTheme="minorEastAsia" w:eastAsiaTheme="minorEastAsia" w:cstheme="minorEastAsia"/>
          <w:highlight w:val="none"/>
        </w:rPr>
        <w:t>启动大模型AI智能体开发项目</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项目基于7个需求部门提出的16项应用需求，系统性推进大模型AI智能体建设工作，包含8项智能体核心基础设施与平台建设需求工作和8项需求部门的人工智能应用场景落地优化。</w:t>
      </w:r>
    </w:p>
    <w:p w14:paraId="2A6B38E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p>
    <w:p w14:paraId="5D13592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二、项目需求</w:t>
      </w:r>
    </w:p>
    <w:p w14:paraId="0794273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★（一）智能体底层平台开发与优化</w:t>
      </w:r>
    </w:p>
    <w:p w14:paraId="3310649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w:t>
      </w:r>
      <w:r>
        <w:rPr>
          <w:rFonts w:hint="eastAsia" w:asciiTheme="minorEastAsia" w:hAnsiTheme="minorEastAsia" w:eastAsiaTheme="minorEastAsia" w:cstheme="minorEastAsia"/>
          <w:highlight w:val="none"/>
        </w:rPr>
        <w:t>技术攻坚：智能体长文本支持</w:t>
      </w:r>
    </w:p>
    <w:p w14:paraId="14C54F2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1</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智能文本分块</w:t>
      </w:r>
    </w:p>
    <w:p w14:paraId="4D7194F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lang w:eastAsia="zh-CN"/>
        </w:rPr>
        <w:t>提供多种文本分块切分技术，支持重叠率灵活调整，实现精准的语义边界识别及长文本上下文关联推理；构建多粒度分块体系（字符级／段落级／章节级），支持超长文档（单文档 〉 20 万字）的高效流式处理。</w:t>
      </w:r>
    </w:p>
    <w:p w14:paraId="7521731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2</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文档结构解析与理解</w:t>
      </w:r>
    </w:p>
    <w:p w14:paraId="6416417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lang w:eastAsia="zh-CN"/>
        </w:rPr>
        <w:t>支持Word、PDF、Excel、HTML、CSV等多种长文档、</w:t>
      </w:r>
      <w:r>
        <w:rPr>
          <w:rFonts w:hint="eastAsia" w:asciiTheme="minorEastAsia" w:hAnsiTheme="minorEastAsia" w:eastAsiaTheme="minorEastAsia" w:cstheme="minorEastAsia"/>
          <w:highlight w:val="none"/>
        </w:rPr>
        <w:t>非结构化文档结构的智能解析。构建跨文档语义智能库，支持对百万级文档的实时智能检索</w:t>
      </w:r>
      <w:r>
        <w:rPr>
          <w:rFonts w:hint="eastAsia" w:asciiTheme="minorEastAsia" w:hAnsiTheme="minorEastAsia" w:eastAsiaTheme="minorEastAsia" w:cstheme="minorEastAsia"/>
          <w:highlight w:val="none"/>
          <w:lang w:eastAsia="zh-CN"/>
        </w:rPr>
        <w:t>。</w:t>
      </w:r>
    </w:p>
    <w:p w14:paraId="1033E99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3</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摘要与关键信息提取</w:t>
      </w:r>
    </w:p>
    <w:p w14:paraId="39E9FB2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rPr>
        <w:t>能够抽取并理解长文档中的标题、章节、段落、图片、表格、公式等元素的语义内容，转换成相应的结构化数据输出。能够对长文本生成分析报告的摘要，并完成关键信息的引用、评估与总结</w:t>
      </w:r>
      <w:r>
        <w:rPr>
          <w:rFonts w:hint="eastAsia" w:asciiTheme="minorEastAsia" w:hAnsiTheme="minorEastAsia" w:eastAsiaTheme="minorEastAsia" w:cstheme="minorEastAsia"/>
          <w:highlight w:val="none"/>
          <w:lang w:eastAsia="zh-CN"/>
        </w:rPr>
        <w:t>。</w:t>
      </w:r>
    </w:p>
    <w:p w14:paraId="2F04E08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2.</w:t>
      </w:r>
      <w:r>
        <w:rPr>
          <w:rFonts w:hint="eastAsia" w:asciiTheme="minorEastAsia" w:hAnsiTheme="minorEastAsia" w:eastAsiaTheme="minorEastAsia" w:cstheme="minorEastAsia"/>
          <w:highlight w:val="none"/>
        </w:rPr>
        <w:t>多模态解析中心</w:t>
      </w:r>
    </w:p>
    <w:p w14:paraId="60E246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w:t>
      </w:r>
      <w:r>
        <w:rPr>
          <w:rFonts w:hint="eastAsia" w:asciiTheme="minorEastAsia" w:hAnsiTheme="minorEastAsia" w:eastAsiaTheme="minorEastAsia" w:cstheme="minorEastAsia"/>
          <w:highlight w:val="none"/>
        </w:rPr>
        <w:t>核心解析能力模块开发</w:t>
      </w:r>
    </w:p>
    <w:p w14:paraId="27F799B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rPr>
        <w:t>旨在构建一个高性能、高可用的多模态解析引擎，要求投标</w:t>
      </w:r>
      <w:r>
        <w:rPr>
          <w:rFonts w:hint="eastAsia" w:asciiTheme="minorEastAsia" w:hAnsiTheme="minorEastAsia" w:eastAsiaTheme="minorEastAsia" w:cstheme="minorEastAsia"/>
          <w:highlight w:val="none"/>
          <w:lang w:val="en-US" w:eastAsia="zh-CN"/>
        </w:rPr>
        <w:t>人</w:t>
      </w:r>
      <w:r>
        <w:rPr>
          <w:rFonts w:hint="eastAsia" w:asciiTheme="minorEastAsia" w:hAnsiTheme="minorEastAsia" w:eastAsiaTheme="minorEastAsia" w:cstheme="minorEastAsia"/>
          <w:highlight w:val="none"/>
        </w:rPr>
        <w:t>不仅具备模型集成能力，更需拥有深度的模型优化、调度和全生命周期管理能力。提供集成多模态大模型推理服务（支持视觉</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语音</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文本）</w:t>
      </w:r>
      <w:r>
        <w:rPr>
          <w:rFonts w:hint="eastAsia" w:asciiTheme="minorEastAsia" w:hAnsiTheme="minorEastAsia" w:eastAsiaTheme="minorEastAsia" w:cstheme="minorEastAsia"/>
          <w:highlight w:val="none"/>
          <w:lang w:eastAsia="zh-CN"/>
        </w:rPr>
        <w:t>。</w:t>
      </w:r>
    </w:p>
    <w:p w14:paraId="5997C7C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（2）</w:t>
      </w:r>
      <w:r>
        <w:rPr>
          <w:rFonts w:hint="eastAsia" w:asciiTheme="minorEastAsia" w:hAnsiTheme="minorEastAsia" w:eastAsiaTheme="minorEastAsia" w:cstheme="minorEastAsia"/>
          <w:highlight w:val="none"/>
        </w:rPr>
        <w:t>统一接口层</w:t>
      </w:r>
    </w:p>
    <w:p w14:paraId="5BC12C0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rPr>
        <w:t>为所有 AI 模型服务（包括大模型、小模型、视觉、语音、NLP 等）提供统一的入口，支持多协议接入。作为为多模态解析中心提供标准化输入的关键组件，旨在屏蔽后端多模态模型的复杂性。接口在接收文件后，应能根据文件类型和预定义策略，自动创建并调度相应的视觉、语音或文本解析任务</w:t>
      </w:r>
      <w:r>
        <w:rPr>
          <w:rFonts w:hint="eastAsia" w:asciiTheme="minorEastAsia" w:hAnsiTheme="minorEastAsia" w:eastAsiaTheme="minorEastAsia" w:cstheme="minorEastAsia"/>
          <w:highlight w:val="none"/>
          <w:lang w:eastAsia="zh-CN"/>
        </w:rPr>
        <w:t>。</w:t>
      </w:r>
    </w:p>
    <w:p w14:paraId="0EE4052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（3）</w:t>
      </w:r>
      <w:r>
        <w:rPr>
          <w:rFonts w:hint="eastAsia" w:asciiTheme="minorEastAsia" w:hAnsiTheme="minorEastAsia" w:eastAsiaTheme="minorEastAsia" w:cstheme="minorEastAsia"/>
          <w:highlight w:val="none"/>
        </w:rPr>
        <w:t>解析结果统一返回</w:t>
      </w:r>
    </w:p>
    <w:p w14:paraId="76D165B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将后端多模态模型的解析结果进行标准化、结构化封装，并提供高效、稳定的访问服务。须能够封装所有模态的解析结果，例如：</w:t>
      </w:r>
    </w:p>
    <w:p w14:paraId="128A83C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w:t>
      </w:r>
      <w:r>
        <w:rPr>
          <w:rFonts w:hint="eastAsia" w:asciiTheme="minorEastAsia" w:hAnsiTheme="minorEastAsia" w:eastAsiaTheme="minorEastAsia" w:cstheme="minorEastAsia"/>
          <w:highlight w:val="none"/>
        </w:rPr>
        <w:t>视觉解析结果：包含识别出的物体列表、坐标框、描述文本、场景分类等</w:t>
      </w:r>
      <w:r>
        <w:rPr>
          <w:rFonts w:hint="eastAsia" w:asciiTheme="minorEastAsia" w:hAnsiTheme="minorEastAsia" w:eastAsiaTheme="minorEastAsia" w:cstheme="minorEastAsia"/>
          <w:highlight w:val="none"/>
          <w:lang w:eastAsia="zh-CN"/>
        </w:rPr>
        <w:t>。</w:t>
      </w:r>
    </w:p>
    <w:p w14:paraId="0545131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2）</w:t>
      </w:r>
      <w:r>
        <w:rPr>
          <w:rFonts w:hint="eastAsia" w:asciiTheme="minorEastAsia" w:hAnsiTheme="minorEastAsia" w:eastAsiaTheme="minorEastAsia" w:cstheme="minorEastAsia"/>
          <w:highlight w:val="none"/>
        </w:rPr>
        <w:t>语音解析结果：包含转写文本、时间戳、说话人分离信息、情感分析结果等</w:t>
      </w:r>
      <w:r>
        <w:rPr>
          <w:rFonts w:hint="eastAsia" w:asciiTheme="minorEastAsia" w:hAnsiTheme="minorEastAsia" w:eastAsiaTheme="minorEastAsia" w:cstheme="minorEastAsia"/>
          <w:highlight w:val="none"/>
          <w:lang w:eastAsia="zh-CN"/>
        </w:rPr>
        <w:t>。</w:t>
      </w:r>
    </w:p>
    <w:p w14:paraId="569A350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3）</w:t>
      </w:r>
      <w:r>
        <w:rPr>
          <w:rFonts w:hint="eastAsia" w:asciiTheme="minorEastAsia" w:hAnsiTheme="minorEastAsia" w:eastAsiaTheme="minorEastAsia" w:cstheme="minorEastAsia"/>
          <w:highlight w:val="none"/>
        </w:rPr>
        <w:t>文本解析结果：包含结构化实体、关系、关键词、摘要、文档逻辑结构等</w:t>
      </w:r>
      <w:r>
        <w:rPr>
          <w:rFonts w:hint="eastAsia" w:asciiTheme="minorEastAsia" w:hAnsiTheme="minorEastAsia" w:eastAsiaTheme="minorEastAsia" w:cstheme="minorEastAsia"/>
          <w:highlight w:val="none"/>
          <w:lang w:eastAsia="zh-CN"/>
        </w:rPr>
        <w:t>。</w:t>
      </w:r>
    </w:p>
    <w:p w14:paraId="4BB0B65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3.</w:t>
      </w:r>
      <w:r>
        <w:rPr>
          <w:rFonts w:hint="eastAsia" w:asciiTheme="minorEastAsia" w:hAnsiTheme="minorEastAsia" w:eastAsiaTheme="minorEastAsia" w:cstheme="minorEastAsia"/>
          <w:highlight w:val="none"/>
        </w:rPr>
        <w:t>大模型平台数字大屏建设</w:t>
      </w:r>
    </w:p>
    <w:p w14:paraId="5E61CF6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w:t>
      </w:r>
      <w:r>
        <w:rPr>
          <w:rFonts w:hint="eastAsia" w:asciiTheme="minorEastAsia" w:hAnsiTheme="minorEastAsia" w:eastAsiaTheme="minorEastAsia" w:cstheme="minorEastAsia"/>
          <w:highlight w:val="none"/>
        </w:rPr>
        <w:t>大屏管理界面开发</w:t>
      </w:r>
    </w:p>
    <w:p w14:paraId="3C7FB4D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w:t>
      </w:r>
      <w:r>
        <w:rPr>
          <w:rFonts w:hint="eastAsia" w:asciiTheme="minorEastAsia" w:hAnsiTheme="minorEastAsia" w:eastAsiaTheme="minorEastAsia" w:cstheme="minorEastAsia"/>
          <w:highlight w:val="none"/>
        </w:rPr>
        <w:t>构建一个支持高并发、低延迟、高可视性的大屏管理后台与前端展示系统</w:t>
      </w:r>
      <w:r>
        <w:rPr>
          <w:rFonts w:hint="eastAsia" w:asciiTheme="minorEastAsia" w:hAnsiTheme="minorEastAsia" w:eastAsiaTheme="minorEastAsia" w:cstheme="minorEastAsia"/>
          <w:highlight w:val="none"/>
          <w:lang w:eastAsia="zh-CN"/>
        </w:rPr>
        <w:t>。</w:t>
      </w:r>
    </w:p>
    <w:p w14:paraId="6E8F7F1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2）</w:t>
      </w:r>
      <w:r>
        <w:rPr>
          <w:rFonts w:hint="eastAsia" w:asciiTheme="minorEastAsia" w:hAnsiTheme="minorEastAsia" w:eastAsiaTheme="minorEastAsia" w:cstheme="minorEastAsia"/>
          <w:highlight w:val="none"/>
        </w:rPr>
        <w:t xml:space="preserve">基于StarRocks构建分布式数据库集群实现实时数据聚同步（延迟 </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 xml:space="preserve"> 10 分钟）</w:t>
      </w:r>
      <w:r>
        <w:rPr>
          <w:rFonts w:hint="eastAsia" w:asciiTheme="minorEastAsia" w:hAnsiTheme="minorEastAsia" w:eastAsiaTheme="minorEastAsia" w:cstheme="minorEastAsia"/>
          <w:highlight w:val="none"/>
          <w:lang w:eastAsia="zh-CN"/>
        </w:rPr>
        <w:t>。</w:t>
      </w:r>
    </w:p>
    <w:p w14:paraId="64B8E77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3）</w:t>
      </w:r>
      <w:r>
        <w:rPr>
          <w:rFonts w:hint="eastAsia" w:asciiTheme="minorEastAsia" w:hAnsiTheme="minorEastAsia" w:eastAsiaTheme="minorEastAsia" w:cstheme="minorEastAsia"/>
          <w:highlight w:val="none"/>
        </w:rPr>
        <w:t>支持从各业务数据库、日志系统、实时消息队列（如Kafka）等多个异构数据源同步数据到StarRocks中通过数字大屏来展现</w:t>
      </w:r>
      <w:r>
        <w:rPr>
          <w:rFonts w:hint="eastAsia" w:asciiTheme="minorEastAsia" w:hAnsiTheme="minorEastAsia" w:eastAsiaTheme="minorEastAsia" w:cstheme="minorEastAsia"/>
          <w:highlight w:val="none"/>
          <w:lang w:eastAsia="zh-CN"/>
        </w:rPr>
        <w:t>。</w:t>
      </w:r>
    </w:p>
    <w:p w14:paraId="6B339F7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4）</w:t>
      </w:r>
      <w:r>
        <w:rPr>
          <w:rFonts w:hint="eastAsia" w:asciiTheme="minorEastAsia" w:hAnsiTheme="minorEastAsia" w:eastAsiaTheme="minorEastAsia" w:cstheme="minorEastAsia"/>
          <w:highlight w:val="none"/>
        </w:rPr>
        <w:t>自适应可视化组件库。所有图表、文字、布局必须支持4K及以上分辨率（最高支持8K），并能在不同尺寸和比例的屏幕上自动适配，确保关键信息无失真、无布局错乱</w:t>
      </w:r>
      <w:r>
        <w:rPr>
          <w:rFonts w:hint="eastAsia" w:asciiTheme="minorEastAsia" w:hAnsiTheme="minorEastAsia" w:eastAsiaTheme="minorEastAsia" w:cstheme="minorEastAsia"/>
          <w:highlight w:val="none"/>
          <w:lang w:eastAsia="zh-CN"/>
        </w:rPr>
        <w:t>。</w:t>
      </w:r>
    </w:p>
    <w:p w14:paraId="0DA26F4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5）</w:t>
      </w:r>
      <w:r>
        <w:rPr>
          <w:rFonts w:hint="eastAsia" w:asciiTheme="minorEastAsia" w:hAnsiTheme="minorEastAsia" w:eastAsiaTheme="minorEastAsia" w:cstheme="minorEastAsia"/>
          <w:highlight w:val="none"/>
        </w:rPr>
        <w:t>组件库需涵盖核心功能模块所需的所有图表类型，包括但不限于：实时指标卡、动态柱状图（TOP10应用）、多层饼图（应用场景分析）、时间趋势图、以及支持无限滚动的表格组件（实时交互明细）</w:t>
      </w:r>
      <w:r>
        <w:rPr>
          <w:rFonts w:hint="eastAsia" w:asciiTheme="minorEastAsia" w:hAnsiTheme="minorEastAsia" w:eastAsiaTheme="minorEastAsia" w:cstheme="minorEastAsia"/>
          <w:highlight w:val="none"/>
          <w:lang w:eastAsia="zh-CN"/>
        </w:rPr>
        <w:t>。</w:t>
      </w:r>
    </w:p>
    <w:p w14:paraId="3DDFB43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（2）</w:t>
      </w:r>
      <w:r>
        <w:rPr>
          <w:rFonts w:hint="eastAsia" w:asciiTheme="minorEastAsia" w:hAnsiTheme="minorEastAsia" w:eastAsiaTheme="minorEastAsia" w:cstheme="minorEastAsia"/>
          <w:highlight w:val="none"/>
        </w:rPr>
        <w:t>核心功能模块开发</w:t>
      </w:r>
    </w:p>
    <w:p w14:paraId="1447FF2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w:t>
      </w:r>
      <w:r>
        <w:rPr>
          <w:rFonts w:hint="eastAsia" w:asciiTheme="minorEastAsia" w:hAnsiTheme="minorEastAsia" w:eastAsiaTheme="minorEastAsia" w:cstheme="minorEastAsia"/>
          <w:highlight w:val="none"/>
        </w:rPr>
        <w:t>今日运行情况：需实时聚合计算用户行为指标，包括但不限于：实时在线用户数、当前并发对话数、平均响应时间（分模型统计）、当日累计对话轮次。所有指标要求秒级更新</w:t>
      </w:r>
      <w:r>
        <w:rPr>
          <w:rFonts w:hint="eastAsia" w:asciiTheme="minorEastAsia" w:hAnsiTheme="minorEastAsia" w:eastAsiaTheme="minorEastAsia" w:cstheme="minorEastAsia"/>
          <w:highlight w:val="none"/>
          <w:lang w:eastAsia="zh-CN"/>
        </w:rPr>
        <w:t>。</w:t>
      </w:r>
    </w:p>
    <w:p w14:paraId="7FACB4C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2）</w:t>
      </w:r>
      <w:r>
        <w:rPr>
          <w:rFonts w:hint="eastAsia" w:asciiTheme="minorEastAsia" w:hAnsiTheme="minorEastAsia" w:eastAsiaTheme="minorEastAsia" w:cstheme="minorEastAsia"/>
          <w:highlight w:val="none"/>
        </w:rPr>
        <w:t>总体执行情况：构建多维度数据指标体系，需整合历史与实时数据，展示如：总用户数（去重）、总对话数、生成建议总数、已部署应用数量及其各应用详细信息展示</w:t>
      </w:r>
      <w:r>
        <w:rPr>
          <w:rFonts w:hint="eastAsia" w:asciiTheme="minorEastAsia" w:hAnsiTheme="minorEastAsia" w:eastAsiaTheme="minorEastAsia" w:cstheme="minorEastAsia"/>
          <w:highlight w:val="none"/>
          <w:lang w:eastAsia="zh-CN"/>
        </w:rPr>
        <w:t>。</w:t>
      </w:r>
    </w:p>
    <w:p w14:paraId="00424A3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3）</w:t>
      </w:r>
      <w:r>
        <w:rPr>
          <w:rFonts w:hint="eastAsia" w:asciiTheme="minorEastAsia" w:hAnsiTheme="minorEastAsia" w:eastAsiaTheme="minorEastAsia" w:cstheme="minorEastAsia"/>
          <w:highlight w:val="none"/>
        </w:rPr>
        <w:t>TOP10应用：开发带时间衰减因子的智能排名算法，不仅根据历史总调用次数，更需侧重近期热度，动态展示调用量最高的应用，并以动态柱状图进行可视化</w:t>
      </w:r>
      <w:r>
        <w:rPr>
          <w:rFonts w:hint="eastAsia" w:asciiTheme="minorEastAsia" w:hAnsiTheme="minorEastAsia" w:eastAsiaTheme="minorEastAsia" w:cstheme="minorEastAsia"/>
          <w:highlight w:val="none"/>
          <w:lang w:eastAsia="zh-CN"/>
        </w:rPr>
        <w:t>。</w:t>
      </w:r>
    </w:p>
    <w:p w14:paraId="7EE27C6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4）</w:t>
      </w:r>
      <w:r>
        <w:rPr>
          <w:rFonts w:hint="eastAsia" w:asciiTheme="minorEastAsia" w:hAnsiTheme="minorEastAsia" w:eastAsiaTheme="minorEastAsia" w:cstheme="minorEastAsia"/>
          <w:highlight w:val="none"/>
        </w:rPr>
        <w:t>应用场景分析：实现多级下钻分析功能。按时间、按部门、按用户多种维度展现指定应用的详细运行指标</w:t>
      </w:r>
      <w:r>
        <w:rPr>
          <w:rFonts w:hint="eastAsia" w:asciiTheme="minorEastAsia" w:hAnsiTheme="minorEastAsia" w:eastAsiaTheme="minorEastAsia" w:cstheme="minorEastAsia"/>
          <w:highlight w:val="none"/>
          <w:lang w:eastAsia="zh-CN"/>
        </w:rPr>
        <w:t>。</w:t>
      </w:r>
    </w:p>
    <w:p w14:paraId="46A6269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5）</w:t>
      </w:r>
      <w:r>
        <w:rPr>
          <w:rFonts w:hint="eastAsia" w:asciiTheme="minorEastAsia" w:hAnsiTheme="minorEastAsia" w:eastAsiaTheme="minorEastAsia" w:cstheme="minorEastAsia"/>
          <w:highlight w:val="none"/>
        </w:rPr>
        <w:t>历史会话数据分析：能查询各智能体、各应用的会话历史数据与对话信息，按用户、部门、时间等维度列出各工作流，对话流数据</w:t>
      </w:r>
      <w:r>
        <w:rPr>
          <w:rFonts w:hint="eastAsia" w:asciiTheme="minorEastAsia" w:hAnsiTheme="minorEastAsia" w:eastAsiaTheme="minorEastAsia" w:cstheme="minorEastAsia"/>
          <w:highlight w:val="none"/>
          <w:lang w:eastAsia="zh-CN"/>
        </w:rPr>
        <w:t>。</w:t>
      </w:r>
    </w:p>
    <w:p w14:paraId="7BCD142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6）</w:t>
      </w:r>
      <w:r>
        <w:rPr>
          <w:rFonts w:hint="eastAsia" w:asciiTheme="minorEastAsia" w:hAnsiTheme="minorEastAsia" w:eastAsiaTheme="minorEastAsia" w:cstheme="minorEastAsia"/>
          <w:highlight w:val="none"/>
        </w:rPr>
        <w:t>同步数据功能：大数据实时数据服务新增表同步抽取作业开发，各AI应用数据汇总统计分析展现。开发数据同步作业，实现从各业务数据库到StarRocks数据中心的数据采集</w:t>
      </w:r>
      <w:r>
        <w:rPr>
          <w:rFonts w:hint="eastAsia" w:asciiTheme="minorEastAsia" w:hAnsiTheme="minorEastAsia" w:eastAsiaTheme="minorEastAsia" w:cstheme="minorEastAsia"/>
          <w:highlight w:val="none"/>
          <w:lang w:eastAsia="zh-CN"/>
        </w:rPr>
        <w:t>。</w:t>
      </w:r>
    </w:p>
    <w:p w14:paraId="70C9A10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7）</w:t>
      </w:r>
      <w:r>
        <w:rPr>
          <w:rFonts w:hint="eastAsia" w:asciiTheme="minorEastAsia" w:hAnsiTheme="minorEastAsia" w:eastAsiaTheme="minorEastAsia" w:cstheme="minorEastAsia"/>
          <w:highlight w:val="none"/>
        </w:rPr>
        <w:t>知识库：知识库积累统计数据展示，相应各类业务文档归类展示</w:t>
      </w:r>
      <w:r>
        <w:rPr>
          <w:rFonts w:hint="eastAsia" w:asciiTheme="minorEastAsia" w:hAnsiTheme="minorEastAsia" w:eastAsiaTheme="minorEastAsia" w:cstheme="minorEastAsia"/>
          <w:highlight w:val="none"/>
          <w:lang w:eastAsia="zh-CN"/>
        </w:rPr>
        <w:t>。</w:t>
      </w:r>
    </w:p>
    <w:p w14:paraId="3990B5A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8）</w:t>
      </w:r>
      <w:r>
        <w:rPr>
          <w:rFonts w:hint="eastAsia" w:asciiTheme="minorEastAsia" w:hAnsiTheme="minorEastAsia" w:eastAsiaTheme="minorEastAsia" w:cstheme="minorEastAsia"/>
          <w:highlight w:val="none"/>
        </w:rPr>
        <w:t>实时交互明细：展示大模型的实时交互情况（应用名称、tokens、时间），并支持滚动展示</w:t>
      </w:r>
      <w:r>
        <w:rPr>
          <w:rFonts w:hint="eastAsia" w:asciiTheme="minorEastAsia" w:hAnsiTheme="minorEastAsia" w:eastAsiaTheme="minorEastAsia" w:cstheme="minorEastAsia"/>
          <w:highlight w:val="none"/>
          <w:lang w:eastAsia="zh-CN"/>
        </w:rPr>
        <w:t>。</w:t>
      </w:r>
    </w:p>
    <w:p w14:paraId="7C9F2CA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9）</w:t>
      </w:r>
      <w:r>
        <w:rPr>
          <w:rFonts w:hint="eastAsia" w:asciiTheme="minorEastAsia" w:hAnsiTheme="minorEastAsia" w:eastAsiaTheme="minorEastAsia" w:cstheme="minorEastAsia"/>
          <w:highlight w:val="none"/>
        </w:rPr>
        <w:t>硬件性能监控数据展示：对指定服务器的CPU</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 xml:space="preserve"> 内存、GPU、DCU、NPU等硬件算力数据进行展示</w:t>
      </w:r>
      <w:r>
        <w:rPr>
          <w:rFonts w:hint="eastAsia" w:asciiTheme="minorEastAsia" w:hAnsiTheme="minorEastAsia" w:eastAsiaTheme="minorEastAsia" w:cstheme="minorEastAsia"/>
          <w:highlight w:val="none"/>
          <w:lang w:eastAsia="zh-CN"/>
        </w:rPr>
        <w:t>。</w:t>
      </w:r>
    </w:p>
    <w:p w14:paraId="0D60140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10）</w:t>
      </w:r>
      <w:r>
        <w:rPr>
          <w:rFonts w:hint="eastAsia" w:asciiTheme="minorEastAsia" w:hAnsiTheme="minorEastAsia" w:eastAsiaTheme="minorEastAsia" w:cstheme="minorEastAsia"/>
          <w:highlight w:val="none"/>
        </w:rPr>
        <w:t>大模型热门应用数据展示：详细的展示各大模型、各应用的会话次数、生成token数</w:t>
      </w:r>
      <w:r>
        <w:rPr>
          <w:rFonts w:hint="eastAsia" w:asciiTheme="minorEastAsia" w:hAnsiTheme="minorEastAsia" w:eastAsiaTheme="minorEastAsia" w:cstheme="minorEastAsia"/>
          <w:highlight w:val="none"/>
          <w:lang w:eastAsia="zh-CN"/>
        </w:rPr>
        <w:t>。</w:t>
      </w:r>
    </w:p>
    <w:p w14:paraId="0ACC7FE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11）</w:t>
      </w:r>
      <w:r>
        <w:rPr>
          <w:rFonts w:hint="eastAsia" w:asciiTheme="minorEastAsia" w:hAnsiTheme="minorEastAsia" w:eastAsiaTheme="minorEastAsia" w:cstheme="minorEastAsia"/>
          <w:highlight w:val="none"/>
        </w:rPr>
        <w:t>后台管理模型</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 xml:space="preserve"> 提供人员、角色、部门等基础后台管理功能。实现大模型应用列表数据管理，算力数据配置、模型数据配置管理功能</w:t>
      </w:r>
      <w:r>
        <w:rPr>
          <w:rFonts w:hint="eastAsia" w:asciiTheme="minorEastAsia" w:hAnsiTheme="minorEastAsia" w:eastAsiaTheme="minorEastAsia" w:cstheme="minorEastAsia"/>
          <w:highlight w:val="none"/>
          <w:lang w:eastAsia="zh-CN"/>
        </w:rPr>
        <w:t>。</w:t>
      </w:r>
    </w:p>
    <w:p w14:paraId="25A8AA0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4.</w:t>
      </w:r>
      <w:r>
        <w:rPr>
          <w:rFonts w:hint="eastAsia" w:asciiTheme="minorEastAsia" w:hAnsiTheme="minorEastAsia" w:eastAsiaTheme="minorEastAsia" w:cstheme="minorEastAsia"/>
          <w:highlight w:val="none"/>
        </w:rPr>
        <w:t>智能对话取数分析</w:t>
      </w:r>
    </w:p>
    <w:p w14:paraId="0780B7E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w:t>
      </w:r>
      <w:r>
        <w:rPr>
          <w:rFonts w:hint="eastAsia" w:asciiTheme="minorEastAsia" w:hAnsiTheme="minorEastAsia" w:eastAsiaTheme="minorEastAsia" w:cstheme="minorEastAsia"/>
          <w:highlight w:val="none"/>
        </w:rPr>
        <w:t>基于构建的取数知识库与智能工作流，准确识别用户用自然语言提出的数据请求</w:t>
      </w:r>
      <w:r>
        <w:rPr>
          <w:rFonts w:hint="eastAsia" w:asciiTheme="minorEastAsia" w:hAnsiTheme="minorEastAsia" w:eastAsiaTheme="minorEastAsia" w:cstheme="minorEastAsia"/>
          <w:highlight w:val="none"/>
          <w:lang w:eastAsia="zh-CN"/>
        </w:rPr>
        <w:t>。</w:t>
      </w:r>
    </w:p>
    <w:p w14:paraId="4183AAA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（2）</w:t>
      </w:r>
      <w:r>
        <w:rPr>
          <w:rFonts w:hint="eastAsia" w:asciiTheme="minorEastAsia" w:hAnsiTheme="minorEastAsia" w:eastAsiaTheme="minorEastAsia" w:cstheme="minorEastAsia"/>
          <w:highlight w:val="none"/>
        </w:rPr>
        <w:t>具备上下文记忆能力，能依据历史对话自动补全用户本次的查询意图，提升交互效率</w:t>
      </w:r>
      <w:r>
        <w:rPr>
          <w:rFonts w:hint="eastAsia" w:asciiTheme="minorEastAsia" w:hAnsiTheme="minorEastAsia" w:eastAsiaTheme="minorEastAsia" w:cstheme="minorEastAsia"/>
          <w:highlight w:val="none"/>
          <w:lang w:eastAsia="zh-CN"/>
        </w:rPr>
        <w:t>。</w:t>
      </w:r>
    </w:p>
    <w:p w14:paraId="0D8A864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（3）</w:t>
      </w:r>
      <w:r>
        <w:rPr>
          <w:rFonts w:hint="eastAsia" w:asciiTheme="minorEastAsia" w:hAnsiTheme="minorEastAsia" w:eastAsiaTheme="minorEastAsia" w:cstheme="minorEastAsia"/>
          <w:highlight w:val="none"/>
        </w:rPr>
        <w:t>将已识别的用户需求，自动转化为可执行的SQL语句，并完成数据查询（或可通过大模型识别意图</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程序代码实现）</w:t>
      </w:r>
      <w:r>
        <w:rPr>
          <w:rFonts w:hint="eastAsia" w:asciiTheme="minorEastAsia" w:hAnsiTheme="minorEastAsia" w:eastAsiaTheme="minorEastAsia" w:cstheme="minorEastAsia"/>
          <w:highlight w:val="none"/>
          <w:lang w:eastAsia="zh-CN"/>
        </w:rPr>
        <w:t>。</w:t>
      </w:r>
    </w:p>
    <w:p w14:paraId="779147A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（4）</w:t>
      </w:r>
      <w:r>
        <w:rPr>
          <w:rFonts w:hint="eastAsia" w:asciiTheme="minorEastAsia" w:hAnsiTheme="minorEastAsia" w:eastAsiaTheme="minorEastAsia" w:cstheme="minorEastAsia"/>
          <w:highlight w:val="none"/>
        </w:rPr>
        <w:t>将查询到的数据结果，自动转化为直观的图表进行展示，完成从</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提问</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到</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洞见</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的闭环</w:t>
      </w:r>
      <w:r>
        <w:rPr>
          <w:rFonts w:hint="eastAsia" w:asciiTheme="minorEastAsia" w:hAnsiTheme="minorEastAsia" w:eastAsiaTheme="minorEastAsia" w:cstheme="minorEastAsia"/>
          <w:highlight w:val="none"/>
          <w:lang w:eastAsia="zh-CN"/>
        </w:rPr>
        <w:t>。</w:t>
      </w:r>
    </w:p>
    <w:p w14:paraId="39C69C1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5.</w:t>
      </w:r>
      <w:r>
        <w:rPr>
          <w:rFonts w:hint="eastAsia" w:asciiTheme="minorEastAsia" w:hAnsiTheme="minorEastAsia" w:eastAsiaTheme="minorEastAsia" w:cstheme="minorEastAsia"/>
          <w:highlight w:val="none"/>
        </w:rPr>
        <w:t>数智魔方门户</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lang w:val="en-US" w:eastAsia="zh-CN"/>
        </w:rPr>
        <w:t>行内统一AI门户）</w:t>
      </w:r>
      <w:r>
        <w:rPr>
          <w:rFonts w:hint="eastAsia" w:asciiTheme="minorEastAsia" w:hAnsiTheme="minorEastAsia" w:eastAsiaTheme="minorEastAsia" w:cstheme="minorEastAsia"/>
          <w:highlight w:val="none"/>
        </w:rPr>
        <w:t>优化</w:t>
      </w:r>
    </w:p>
    <w:p w14:paraId="65C4891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w:t>
      </w:r>
      <w:r>
        <w:rPr>
          <w:rFonts w:hint="eastAsia" w:asciiTheme="minorEastAsia" w:hAnsiTheme="minorEastAsia" w:eastAsiaTheme="minorEastAsia" w:cstheme="minorEastAsia"/>
          <w:highlight w:val="none"/>
        </w:rPr>
        <w:t>常用语标题功能（参考kimi的功能）</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常用语的增删改</w:t>
      </w:r>
      <w:r>
        <w:rPr>
          <w:rFonts w:hint="eastAsia" w:asciiTheme="minorEastAsia" w:hAnsiTheme="minorEastAsia" w:eastAsiaTheme="minorEastAsia" w:cstheme="minorEastAsia"/>
          <w:highlight w:val="none"/>
          <w:lang w:val="en-US" w:eastAsia="zh-CN"/>
        </w:rPr>
        <w:t>以及</w:t>
      </w:r>
      <w:r>
        <w:rPr>
          <w:rFonts w:hint="eastAsia" w:asciiTheme="minorEastAsia" w:hAnsiTheme="minorEastAsia" w:eastAsiaTheme="minorEastAsia" w:cstheme="minorEastAsia"/>
          <w:highlight w:val="none"/>
        </w:rPr>
        <w:t>常用语的快速运用</w:t>
      </w:r>
      <w:r>
        <w:rPr>
          <w:rFonts w:hint="eastAsia" w:asciiTheme="minorEastAsia" w:hAnsiTheme="minorEastAsia" w:eastAsiaTheme="minorEastAsia" w:cstheme="minorEastAsia"/>
          <w:highlight w:val="none"/>
          <w:lang w:eastAsia="zh-CN"/>
        </w:rPr>
        <w:t>。</w:t>
      </w:r>
    </w:p>
    <w:p w14:paraId="3DB35D5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（2）</w:t>
      </w:r>
      <w:r>
        <w:rPr>
          <w:rFonts w:hint="eastAsia" w:asciiTheme="minorEastAsia" w:hAnsiTheme="minorEastAsia" w:eastAsiaTheme="minorEastAsia" w:cstheme="minorEastAsia"/>
          <w:highlight w:val="none"/>
        </w:rPr>
        <w:t>优化后台管理功能</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支持按机构和按人员混合设置（当前仅支持单一设置）</w:t>
      </w:r>
      <w:r>
        <w:rPr>
          <w:rFonts w:hint="eastAsia" w:asciiTheme="minorEastAsia" w:hAnsiTheme="minorEastAsia" w:eastAsiaTheme="minorEastAsia" w:cstheme="minorEastAsia"/>
          <w:highlight w:val="none"/>
          <w:lang w:eastAsia="zh-CN"/>
        </w:rPr>
        <w:t>。</w:t>
      </w:r>
    </w:p>
    <w:p w14:paraId="08919A6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（3）</w:t>
      </w:r>
      <w:r>
        <w:rPr>
          <w:rFonts w:hint="eastAsia" w:asciiTheme="minorEastAsia" w:hAnsiTheme="minorEastAsia" w:eastAsiaTheme="minorEastAsia" w:cstheme="minorEastAsia"/>
          <w:highlight w:val="none"/>
        </w:rPr>
        <w:t>适配人工智能应用平台智能体入口，通过门户可以使用人工智能应用平台智能体</w:t>
      </w:r>
      <w:r>
        <w:rPr>
          <w:rFonts w:hint="eastAsia" w:asciiTheme="minorEastAsia" w:hAnsiTheme="minorEastAsia" w:eastAsiaTheme="minorEastAsia" w:cstheme="minorEastAsia"/>
          <w:highlight w:val="none"/>
          <w:lang w:eastAsia="zh-CN"/>
        </w:rPr>
        <w:t>。</w:t>
      </w:r>
    </w:p>
    <w:p w14:paraId="2038BB9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6.</w:t>
      </w:r>
      <w:r>
        <w:rPr>
          <w:rFonts w:hint="eastAsia" w:asciiTheme="minorEastAsia" w:hAnsiTheme="minorEastAsia" w:eastAsiaTheme="minorEastAsia" w:cstheme="minorEastAsia"/>
          <w:highlight w:val="none"/>
        </w:rPr>
        <w:t>数智魔方门户</w:t>
      </w:r>
      <w:r>
        <w:rPr>
          <w:rFonts w:hint="eastAsia" w:asciiTheme="minorEastAsia" w:hAnsiTheme="minorEastAsia" w:eastAsiaTheme="minorEastAsia" w:cstheme="minorEastAsia"/>
          <w:highlight w:val="none"/>
          <w:lang w:val="en-US" w:eastAsia="zh-CN"/>
        </w:rPr>
        <w:t>（行内统一AI门户）</w:t>
      </w:r>
      <w:r>
        <w:rPr>
          <w:rFonts w:hint="eastAsia" w:asciiTheme="minorEastAsia" w:hAnsiTheme="minorEastAsia" w:eastAsiaTheme="minorEastAsia" w:cstheme="minorEastAsia"/>
          <w:highlight w:val="none"/>
        </w:rPr>
        <w:t>移动端</w:t>
      </w:r>
    </w:p>
    <w:p w14:paraId="793C7A3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w:t>
      </w:r>
      <w:r>
        <w:rPr>
          <w:rFonts w:hint="eastAsia" w:asciiTheme="minorEastAsia" w:hAnsiTheme="minorEastAsia" w:eastAsiaTheme="minorEastAsia" w:cstheme="minorEastAsia"/>
          <w:highlight w:val="none"/>
        </w:rPr>
        <w:t>在</w:t>
      </w:r>
      <w:r>
        <w:rPr>
          <w:rFonts w:hint="eastAsia" w:asciiTheme="minorEastAsia" w:hAnsiTheme="minorEastAsia" w:eastAsiaTheme="minorEastAsia" w:cstheme="minorEastAsia"/>
          <w:highlight w:val="none"/>
          <w:lang w:eastAsia="zh-CN"/>
        </w:rPr>
        <w:t>行内及时通讯工具</w:t>
      </w:r>
      <w:r>
        <w:rPr>
          <w:rFonts w:hint="eastAsia" w:asciiTheme="minorEastAsia" w:hAnsiTheme="minorEastAsia" w:eastAsiaTheme="minorEastAsia" w:cstheme="minorEastAsia"/>
          <w:highlight w:val="none"/>
        </w:rPr>
        <w:t>上创建公众号，作为数智魔方移动端入口</w:t>
      </w:r>
      <w:r>
        <w:rPr>
          <w:rFonts w:hint="eastAsia" w:asciiTheme="minorEastAsia" w:hAnsiTheme="minorEastAsia" w:eastAsiaTheme="minorEastAsia" w:cstheme="minorEastAsia"/>
          <w:highlight w:val="none"/>
          <w:lang w:val="en-US" w:eastAsia="zh-CN"/>
        </w:rPr>
        <w:t xml:space="preserve"> </w:t>
      </w:r>
      <w:r>
        <w:rPr>
          <w:rFonts w:hint="eastAsia" w:asciiTheme="minorEastAsia" w:hAnsiTheme="minorEastAsia" w:eastAsiaTheme="minorEastAsia" w:cstheme="minorEastAsia"/>
          <w:highlight w:val="none"/>
          <w:lang w:eastAsia="zh-CN"/>
        </w:rPr>
        <w:t>。</w:t>
      </w:r>
    </w:p>
    <w:p w14:paraId="568B49C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（2）</w:t>
      </w:r>
      <w:r>
        <w:rPr>
          <w:rFonts w:hint="eastAsia" w:asciiTheme="minorEastAsia" w:hAnsiTheme="minorEastAsia" w:eastAsiaTheme="minorEastAsia" w:cstheme="minorEastAsia"/>
          <w:highlight w:val="none"/>
        </w:rPr>
        <w:t>使用现有的应用接口与</w:t>
      </w:r>
      <w:r>
        <w:rPr>
          <w:rFonts w:hint="eastAsia" w:asciiTheme="minorEastAsia" w:hAnsiTheme="minorEastAsia" w:eastAsiaTheme="minorEastAsia" w:cstheme="minorEastAsia"/>
          <w:highlight w:val="none"/>
          <w:lang w:eastAsia="zh-CN"/>
        </w:rPr>
        <w:t>行内及时通讯工具</w:t>
      </w:r>
      <w:r>
        <w:rPr>
          <w:rFonts w:hint="eastAsia" w:asciiTheme="minorEastAsia" w:hAnsiTheme="minorEastAsia" w:eastAsiaTheme="minorEastAsia" w:cstheme="minorEastAsia"/>
          <w:highlight w:val="none"/>
        </w:rPr>
        <w:t>进行对接</w:t>
      </w:r>
      <w:r>
        <w:rPr>
          <w:rFonts w:hint="eastAsia" w:asciiTheme="minorEastAsia" w:hAnsiTheme="minorEastAsia" w:eastAsiaTheme="minorEastAsia" w:cstheme="minorEastAsia"/>
          <w:highlight w:val="none"/>
          <w:lang w:eastAsia="zh-CN"/>
        </w:rPr>
        <w:t>。</w:t>
      </w:r>
    </w:p>
    <w:p w14:paraId="672FB2D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（3）</w:t>
      </w:r>
      <w:r>
        <w:rPr>
          <w:rFonts w:hint="eastAsia" w:asciiTheme="minorEastAsia" w:hAnsiTheme="minorEastAsia" w:eastAsiaTheme="minorEastAsia" w:cstheme="minorEastAsia"/>
          <w:highlight w:val="none"/>
        </w:rPr>
        <w:t>公众号需支持对话和文件上传功能</w:t>
      </w:r>
      <w:r>
        <w:rPr>
          <w:rFonts w:hint="eastAsia" w:asciiTheme="minorEastAsia" w:hAnsiTheme="minorEastAsia" w:eastAsiaTheme="minorEastAsia" w:cstheme="minorEastAsia"/>
          <w:highlight w:val="none"/>
          <w:lang w:eastAsia="zh-CN"/>
        </w:rPr>
        <w:t>。</w:t>
      </w:r>
    </w:p>
    <w:p w14:paraId="1D3BF10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7.</w:t>
      </w:r>
      <w:r>
        <w:rPr>
          <w:rFonts w:hint="eastAsia" w:asciiTheme="minorEastAsia" w:hAnsiTheme="minorEastAsia" w:eastAsiaTheme="minorEastAsia" w:cstheme="minorEastAsia"/>
          <w:highlight w:val="none"/>
        </w:rPr>
        <w:t>智能体开发平台优化</w:t>
      </w:r>
    </w:p>
    <w:p w14:paraId="3BC9B4D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w:t>
      </w:r>
      <w:r>
        <w:rPr>
          <w:rFonts w:hint="eastAsia" w:asciiTheme="minorEastAsia" w:hAnsiTheme="minorEastAsia" w:eastAsiaTheme="minorEastAsia" w:cstheme="minorEastAsia"/>
          <w:highlight w:val="none"/>
        </w:rPr>
        <w:t>精细化负载均衡与流量治理优化：</w:t>
      </w:r>
      <w:r>
        <w:rPr>
          <w:rFonts w:hint="eastAsia" w:asciiTheme="minorEastAsia" w:hAnsiTheme="minorEastAsia" w:eastAsiaTheme="minorEastAsia" w:cstheme="minorEastAsia"/>
          <w:highlight w:val="none"/>
          <w:lang w:val="en-US" w:eastAsia="zh-CN"/>
        </w:rPr>
        <w:t xml:space="preserve"> </w:t>
      </w:r>
      <w:r>
        <w:rPr>
          <w:rFonts w:hint="eastAsia" w:asciiTheme="minorEastAsia" w:hAnsiTheme="minorEastAsia" w:eastAsiaTheme="minorEastAsia" w:cstheme="minorEastAsia"/>
          <w:highlight w:val="none"/>
        </w:rPr>
        <w:t>根据预设阈值进行硬限流，还需能结合实时系统负载调整限流策略，实现系统整体吞吐量的最大化</w:t>
      </w:r>
      <w:r>
        <w:rPr>
          <w:rFonts w:hint="eastAsia" w:asciiTheme="minorEastAsia" w:hAnsiTheme="minorEastAsia" w:eastAsiaTheme="minorEastAsia" w:cstheme="minorEastAsia"/>
          <w:highlight w:val="none"/>
          <w:lang w:eastAsia="zh-CN"/>
        </w:rPr>
        <w:t>。</w:t>
      </w:r>
    </w:p>
    <w:p w14:paraId="07339F9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（2）</w:t>
      </w:r>
      <w:r>
        <w:rPr>
          <w:rFonts w:hint="eastAsia" w:asciiTheme="minorEastAsia" w:hAnsiTheme="minorEastAsia" w:eastAsiaTheme="minorEastAsia" w:cstheme="minorEastAsia"/>
          <w:highlight w:val="none"/>
        </w:rPr>
        <w:t>模型切换验证脚本开发：在切换新的模型时，批量调用模型的应用数据进行验证，并给出前后模型的输入输出的相似度，从而节约人工</w:t>
      </w:r>
      <w:r>
        <w:rPr>
          <w:rFonts w:hint="eastAsia" w:asciiTheme="minorEastAsia" w:hAnsiTheme="minorEastAsia" w:eastAsiaTheme="minorEastAsia" w:cstheme="minorEastAsia"/>
          <w:highlight w:val="none"/>
          <w:lang w:eastAsia="zh-CN"/>
        </w:rPr>
        <w:t>。</w:t>
      </w:r>
    </w:p>
    <w:p w14:paraId="3326782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（3）</w:t>
      </w:r>
      <w:r>
        <w:rPr>
          <w:rFonts w:hint="eastAsia" w:asciiTheme="minorEastAsia" w:hAnsiTheme="minorEastAsia" w:eastAsiaTheme="minorEastAsia" w:cstheme="minorEastAsia"/>
          <w:highlight w:val="none"/>
        </w:rPr>
        <w:t>智能路由与灰度发布：支持基于请求内容（如 model_name、user_id）、Header、权重等策略的动态路由，实现模型版本灰度发布与 A</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B 测试</w:t>
      </w:r>
      <w:r>
        <w:rPr>
          <w:rFonts w:hint="eastAsia" w:asciiTheme="minorEastAsia" w:hAnsiTheme="minorEastAsia" w:eastAsiaTheme="minorEastAsia" w:cstheme="minorEastAsia"/>
          <w:highlight w:val="none"/>
          <w:lang w:eastAsia="zh-CN"/>
        </w:rPr>
        <w:t>。</w:t>
      </w:r>
    </w:p>
    <w:p w14:paraId="79606A7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（4）</w:t>
      </w:r>
      <w:r>
        <w:rPr>
          <w:rFonts w:hint="eastAsia" w:asciiTheme="minorEastAsia" w:hAnsiTheme="minorEastAsia" w:eastAsiaTheme="minorEastAsia" w:cstheme="minorEastAsia"/>
          <w:highlight w:val="none"/>
        </w:rPr>
        <w:t>集成 Token 鉴权、配额控制、限流熔断等安全与稳定性机制</w:t>
      </w:r>
      <w:r>
        <w:rPr>
          <w:rFonts w:hint="eastAsia" w:asciiTheme="minorEastAsia" w:hAnsiTheme="minorEastAsia" w:eastAsiaTheme="minorEastAsia" w:cstheme="minorEastAsia"/>
          <w:highlight w:val="none"/>
          <w:lang w:eastAsia="zh-CN"/>
        </w:rPr>
        <w:t>。</w:t>
      </w:r>
    </w:p>
    <w:p w14:paraId="5F37E32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（5）</w:t>
      </w:r>
      <w:r>
        <w:rPr>
          <w:rFonts w:hint="eastAsia" w:asciiTheme="minorEastAsia" w:hAnsiTheme="minorEastAsia" w:eastAsiaTheme="minorEastAsia" w:cstheme="minorEastAsia"/>
          <w:highlight w:val="none"/>
        </w:rPr>
        <w:t>支持请求</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响应转换，适配不同模型服务的输入输出格式</w:t>
      </w:r>
      <w:r>
        <w:rPr>
          <w:rFonts w:hint="eastAsia" w:asciiTheme="minorEastAsia" w:hAnsiTheme="minorEastAsia" w:eastAsiaTheme="minorEastAsia" w:cstheme="minorEastAsia"/>
          <w:highlight w:val="none"/>
          <w:lang w:eastAsia="zh-CN"/>
        </w:rPr>
        <w:t>。</w:t>
      </w:r>
    </w:p>
    <w:p w14:paraId="737CD9D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（6）</w:t>
      </w:r>
      <w:r>
        <w:rPr>
          <w:rFonts w:hint="eastAsia" w:asciiTheme="minorEastAsia" w:hAnsiTheme="minorEastAsia" w:eastAsiaTheme="minorEastAsia" w:cstheme="minorEastAsia"/>
          <w:highlight w:val="none"/>
        </w:rPr>
        <w:t>路由指标监控（延迟、QPS、错误率）</w:t>
      </w:r>
      <w:r>
        <w:rPr>
          <w:rFonts w:hint="eastAsia" w:asciiTheme="minorEastAsia" w:hAnsiTheme="minorEastAsia" w:eastAsiaTheme="minorEastAsia" w:cstheme="minorEastAsia"/>
          <w:highlight w:val="none"/>
          <w:lang w:eastAsia="zh-CN"/>
        </w:rPr>
        <w:t>。</w:t>
      </w:r>
    </w:p>
    <w:p w14:paraId="67D129B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（7）</w:t>
      </w:r>
      <w:r>
        <w:rPr>
          <w:rFonts w:hint="eastAsia" w:asciiTheme="minorEastAsia" w:hAnsiTheme="minorEastAsia" w:eastAsiaTheme="minorEastAsia" w:cstheme="minorEastAsia"/>
          <w:highlight w:val="none"/>
        </w:rPr>
        <w:t>通过插件机制支持自定义鉴权、审计、数据脱敏等扩展能力</w:t>
      </w:r>
      <w:r>
        <w:rPr>
          <w:rFonts w:hint="eastAsia" w:asciiTheme="minorEastAsia" w:hAnsiTheme="minorEastAsia" w:eastAsiaTheme="minorEastAsia" w:cstheme="minorEastAsia"/>
          <w:highlight w:val="none"/>
          <w:lang w:eastAsia="zh-CN"/>
        </w:rPr>
        <w:t>。</w:t>
      </w:r>
    </w:p>
    <w:p w14:paraId="17F7F3B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8.</w:t>
      </w:r>
      <w:r>
        <w:rPr>
          <w:rFonts w:hint="eastAsia" w:asciiTheme="minorEastAsia" w:hAnsiTheme="minorEastAsia" w:eastAsiaTheme="minorEastAsia" w:cstheme="minorEastAsia"/>
          <w:highlight w:val="none"/>
        </w:rPr>
        <w:t>搭建MCP服务体系</w:t>
      </w:r>
    </w:p>
    <w:p w14:paraId="234F4D6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w:t>
      </w:r>
      <w:r>
        <w:rPr>
          <w:rFonts w:hint="eastAsia" w:asciiTheme="minorEastAsia" w:hAnsiTheme="minorEastAsia" w:eastAsiaTheme="minorEastAsia" w:cstheme="minorEastAsia"/>
          <w:highlight w:val="none"/>
        </w:rPr>
        <w:t>构建MCP服务体系，实现函数接口的统一管理与自动化执行，实现工具能力的标准化、模块化与自动化编排，提升智能体行动力的核心</w:t>
      </w:r>
      <w:r>
        <w:rPr>
          <w:rFonts w:hint="eastAsia" w:asciiTheme="minorEastAsia" w:hAnsiTheme="minorEastAsia" w:eastAsiaTheme="minorEastAsia" w:cstheme="minorEastAsia"/>
          <w:highlight w:val="none"/>
          <w:lang w:eastAsia="zh-CN"/>
        </w:rPr>
        <w:t>。</w:t>
      </w:r>
    </w:p>
    <w:p w14:paraId="4E893F0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（2）</w:t>
      </w:r>
      <w:r>
        <w:rPr>
          <w:rFonts w:hint="eastAsia" w:asciiTheme="minorEastAsia" w:hAnsiTheme="minorEastAsia" w:eastAsiaTheme="minorEastAsia" w:cstheme="minorEastAsia"/>
          <w:highlight w:val="none"/>
        </w:rPr>
        <w:t>建立标准化流程管理体系以提升系统效率与可维护性</w:t>
      </w:r>
      <w:r>
        <w:rPr>
          <w:rFonts w:hint="eastAsia" w:asciiTheme="minorEastAsia" w:hAnsiTheme="minorEastAsia" w:eastAsiaTheme="minorEastAsia" w:cstheme="minorEastAsia"/>
          <w:highlight w:val="none"/>
          <w:lang w:eastAsia="zh-CN"/>
        </w:rPr>
        <w:t>。</w:t>
      </w:r>
    </w:p>
    <w:p w14:paraId="1994181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（3）</w:t>
      </w:r>
      <w:r>
        <w:rPr>
          <w:rFonts w:hint="eastAsia" w:asciiTheme="minorEastAsia" w:hAnsiTheme="minorEastAsia" w:eastAsiaTheme="minorEastAsia" w:cstheme="minorEastAsia"/>
          <w:highlight w:val="none"/>
        </w:rPr>
        <w:t>能够根据大模型生成的规划，自动、动态地调用相应的MCP Server函数来执行具体任务（如获取天气、查询数据库、调用相应接口，推送相应平台），</w:t>
      </w:r>
    </w:p>
    <w:p w14:paraId="22BDB67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rPr>
        <w:t>并将执行结果结构化地返回给大模型，形成</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决策-执行-反馈</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的闭环</w:t>
      </w:r>
      <w:r>
        <w:rPr>
          <w:rFonts w:hint="eastAsia" w:asciiTheme="minorEastAsia" w:hAnsiTheme="minorEastAsia" w:eastAsiaTheme="minorEastAsia" w:cstheme="minorEastAsia"/>
          <w:highlight w:val="none"/>
          <w:lang w:eastAsia="zh-CN"/>
        </w:rPr>
        <w:t>。</w:t>
      </w:r>
    </w:p>
    <w:p w14:paraId="497E7AD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★（二）业务领域人工智能应用落地与优化</w:t>
      </w:r>
    </w:p>
    <w:p w14:paraId="011913D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w:t>
      </w:r>
      <w:r>
        <w:rPr>
          <w:rFonts w:hint="eastAsia" w:asciiTheme="minorEastAsia" w:hAnsiTheme="minorEastAsia" w:eastAsiaTheme="minorEastAsia" w:cstheme="minorEastAsia"/>
          <w:highlight w:val="none"/>
        </w:rPr>
        <w:t>AI分析对公客户拜访记录</w:t>
      </w:r>
    </w:p>
    <w:p w14:paraId="1858233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w:t>
      </w:r>
      <w:r>
        <w:rPr>
          <w:rFonts w:hint="eastAsia" w:asciiTheme="minorEastAsia" w:hAnsiTheme="minorEastAsia" w:eastAsiaTheme="minorEastAsia" w:cstheme="minorEastAsia"/>
          <w:highlight w:val="none"/>
        </w:rPr>
        <w:t>使用AI分析对公客户拜访记录</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lang w:val="en-US" w:eastAsia="zh-CN"/>
        </w:rPr>
        <w:t>从大数据平台获取到每天的客户拜访记录，然后使用AI进行分析。</w:t>
      </w:r>
    </w:p>
    <w:p w14:paraId="1F05A30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（2）</w:t>
      </w:r>
      <w:r>
        <w:rPr>
          <w:rFonts w:hint="eastAsia" w:asciiTheme="minorEastAsia" w:hAnsiTheme="minorEastAsia" w:eastAsiaTheme="minorEastAsia" w:cstheme="minorEastAsia"/>
          <w:highlight w:val="none"/>
        </w:rPr>
        <w:t>从中自动获取商机和风险信息</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lang w:val="en-US" w:eastAsia="zh-CN"/>
        </w:rPr>
        <w:t>分析之后获取到商机（借款意愿）和风险（欠款、欠债情况等）。</w:t>
      </w:r>
    </w:p>
    <w:p w14:paraId="6E083BA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2.</w:t>
      </w:r>
      <w:r>
        <w:rPr>
          <w:rFonts w:hint="eastAsia" w:asciiTheme="minorEastAsia" w:hAnsiTheme="minorEastAsia" w:eastAsiaTheme="minorEastAsia" w:cstheme="minorEastAsia"/>
          <w:highlight w:val="none"/>
        </w:rPr>
        <w:t>审查助手功能优化方案</w:t>
      </w:r>
    </w:p>
    <w:p w14:paraId="11A262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为提升信贷审查工作的智能化水平与审查效率，本项目对</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审查助手</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功能模块进行深度优化，聚焦于结构化信息提取、智能交互问答、多维度贷款适配分析及行业背景融合研判，具体优化内容如下：</w:t>
      </w:r>
    </w:p>
    <w:p w14:paraId="3907B2D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（1）信贷审查报告智能摘要与关键信息结构化提取</w:t>
      </w:r>
    </w:p>
    <w:p w14:paraId="32F3D5E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系统将自动解析用户上传的信贷审查报告（支持PDF、Word、扫描件OCR识别等格式），基于大模型与规则引擎相结合的方式，对全文进行语义理解与信息抽取，精准提炼以下核心内容并结构化呈现：</w:t>
      </w:r>
    </w:p>
    <w:p w14:paraId="13E8C8E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本次授信主体：包括企业名称、统一社会信用代码、实际控制人、股权结构等基本信息；</w:t>
      </w:r>
    </w:p>
    <w:p w14:paraId="34692E8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项目基本情况：项目名称、建设内容、实施地点、建设周期、投资总额、当前进展等；</w:t>
      </w:r>
    </w:p>
    <w:p w14:paraId="6185C46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整体授信概况：申请授信额度、用途、期限、还款来源、风险缓释措施等；</w:t>
      </w:r>
    </w:p>
    <w:p w14:paraId="19136B7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资金拼盘情况：资本金比例、自筹资金来源、其他融资安排、资金缺口及覆盖能力分析；</w:t>
      </w:r>
    </w:p>
    <w:p w14:paraId="5CD7389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业务往来详情：与上下游主要合作方的交易规模、结算方式、历史履约记录等；</w:t>
      </w:r>
    </w:p>
    <w:p w14:paraId="0E3C681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行业情况分析：所属行业分类、行业周期阶段、政策导向、竞争格局、技术发展趋势等。</w:t>
      </w:r>
    </w:p>
    <w:p w14:paraId="12A6C93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上述信息将以结构化卡片或表格形式在审查界面中集中展示，便于审查人员快速掌握报告核心要点。</w:t>
      </w:r>
    </w:p>
    <w:p w14:paraId="0AD2EBC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（2）支持多轮交互式智能问答，实现审查信息动态探查</w:t>
      </w:r>
    </w:p>
    <w:p w14:paraId="2DEA9D1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rPr>
        <w:t>基于第（1）步提取的结构化知识库，系统构建面向信贷审查场景的对话引擎，允许用户通过自然语言与审查助手进行多轮交互</w:t>
      </w:r>
      <w:r>
        <w:rPr>
          <w:rFonts w:hint="eastAsia" w:asciiTheme="minorEastAsia" w:hAnsiTheme="minorEastAsia" w:eastAsiaTheme="minorEastAsia" w:cstheme="minorEastAsia"/>
          <w:highlight w:val="none"/>
          <w:lang w:eastAsia="zh-CN"/>
        </w:rPr>
        <w:t>。</w:t>
      </w:r>
    </w:p>
    <w:p w14:paraId="3FA2440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（3）适配</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固贷</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流贷</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双场景的审查要素增强提取</w:t>
      </w:r>
    </w:p>
    <w:p w14:paraId="4615565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rPr>
        <w:t>针对固定资产贷款（固贷）与流动资金贷款（流贷）两类典型授信场景，系统对审查助手的信息提取逻辑进行专项优化，确保关键审查要素无遗漏、可比对、可验证</w:t>
      </w:r>
      <w:r>
        <w:rPr>
          <w:rFonts w:hint="eastAsia" w:asciiTheme="minorEastAsia" w:hAnsiTheme="minorEastAsia" w:eastAsiaTheme="minorEastAsia" w:cstheme="minorEastAsia"/>
          <w:highlight w:val="none"/>
          <w:lang w:eastAsia="zh-CN"/>
        </w:rPr>
        <w:t>。</w:t>
      </w:r>
    </w:p>
    <w:p w14:paraId="4E4E3C7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（4）融合外部产业数据，生成行业维度综合分析结论</w:t>
      </w:r>
    </w:p>
    <w:p w14:paraId="508F2DD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rPr>
        <w:t>在完成内部报告信息提取与交互问答的基础上，系统将自动调用本行已有的</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桂银查查</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产业报告API接口，基于授信主体的统一社会信用代码或行业分类代码，实时获取</w:t>
      </w:r>
      <w:r>
        <w:rPr>
          <w:rFonts w:hint="eastAsia" w:asciiTheme="minorEastAsia" w:hAnsiTheme="minorEastAsia" w:eastAsiaTheme="minorEastAsia" w:cstheme="minorEastAsia"/>
          <w:highlight w:val="none"/>
          <w:lang w:val="en-US" w:eastAsia="zh-CN"/>
        </w:rPr>
        <w:t>相关</w:t>
      </w:r>
      <w:r>
        <w:rPr>
          <w:rFonts w:hint="eastAsia" w:asciiTheme="minorEastAsia" w:hAnsiTheme="minorEastAsia" w:eastAsiaTheme="minorEastAsia" w:cstheme="minorEastAsia"/>
          <w:highlight w:val="none"/>
        </w:rPr>
        <w:t>数据</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lang w:val="en-US" w:eastAsia="zh-CN"/>
        </w:rPr>
        <w:t>行业风险、公司风险等</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该分析结论可作为审查意见的重要参考依据，并支持一键嵌入正式审查报告</w:t>
      </w:r>
      <w:r>
        <w:rPr>
          <w:rFonts w:hint="eastAsia" w:asciiTheme="minorEastAsia" w:hAnsiTheme="minorEastAsia" w:eastAsiaTheme="minorEastAsia" w:cstheme="minorEastAsia"/>
          <w:highlight w:val="none"/>
          <w:lang w:eastAsia="zh-CN"/>
        </w:rPr>
        <w:t>。</w:t>
      </w:r>
    </w:p>
    <w:p w14:paraId="6896033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3.</w:t>
      </w:r>
      <w:r>
        <w:rPr>
          <w:rFonts w:hint="eastAsia" w:asciiTheme="minorEastAsia" w:hAnsiTheme="minorEastAsia" w:eastAsiaTheme="minorEastAsia" w:cstheme="minorEastAsia"/>
          <w:highlight w:val="none"/>
        </w:rPr>
        <w:t>诉讼材料对比需求</w:t>
      </w:r>
    </w:p>
    <w:p w14:paraId="7055E35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（1）诉讼材料解析：对用户提供的诉讼相关材料（包括独立保函、起诉状、诉前保全申请书及诉前保全财产查控申请书）进行并行解析。</w:t>
      </w:r>
    </w:p>
    <w:p w14:paraId="15E7BB2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（2）大模型分析：利用大语言模型识别潜在问题。</w:t>
      </w:r>
    </w:p>
    <w:p w14:paraId="128F924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（3）能力扩展：基于该需求逐步构建处理其他类型非结构化数据的分析能力。</w:t>
      </w:r>
    </w:p>
    <w:p w14:paraId="2F69A14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4.征信报告分析优化需求</w:t>
      </w:r>
    </w:p>
    <w:p w14:paraId="4A2F531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为全面提升征信数据的智能化处理能力，强化风险识别与用户行为洞察，支撑乡村金融风控体系建设，现对征信报告分析模块进行深度优化，具体需求如下：</w:t>
      </w:r>
    </w:p>
    <w:p w14:paraId="1D319D9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w:t>
      </w:r>
      <w:r>
        <w:rPr>
          <w:rFonts w:hint="eastAsia" w:asciiTheme="minorEastAsia" w:hAnsiTheme="minorEastAsia" w:eastAsiaTheme="minorEastAsia" w:cstheme="minorEastAsia"/>
          <w:highlight w:val="none"/>
        </w:rPr>
        <w:t>多源征信报告的智能识别与结构化转换</w:t>
      </w:r>
      <w:r>
        <w:rPr>
          <w:rFonts w:hint="eastAsia" w:asciiTheme="minorEastAsia" w:hAnsiTheme="minorEastAsia" w:eastAsiaTheme="minorEastAsia" w:cstheme="minorEastAsia"/>
          <w:highlight w:val="none"/>
          <w:lang w:eastAsia="zh-CN"/>
        </w:rPr>
        <w:t>。</w:t>
      </w:r>
    </w:p>
    <w:p w14:paraId="1ABDA61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针对当前征信报告来源多样、格式不一的现状（包括但不限于纸质扫描件、PDF电子文档、手机截图、图片格式等），系统将集成高精度OCR（光学字符识别）模型与版面理解技术，实现对各类非结构化或半结构化征信报告的自动化解析。</w:t>
      </w:r>
    </w:p>
    <w:p w14:paraId="28DF089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具体能力包括：</w:t>
      </w:r>
    </w:p>
    <w:p w14:paraId="3AAB476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支持主流征信机构（如人民银行征信中心、百行征信等）出具的个人及企业征信报告格式；</w:t>
      </w:r>
    </w:p>
    <w:p w14:paraId="0EA9A9D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自动识别报告中的关键字段，如身份信息、信贷账户明细、逾期记录、查询记录、担保信息、公共记录（如欠税、执行、行政处罚）等；</w:t>
      </w:r>
    </w:p>
    <w:p w14:paraId="5C86ABE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对表格、列表、段落混合排版内容进行语义还原，确保数据逻辑完整性；</w:t>
      </w:r>
    </w:p>
    <w:p w14:paraId="69CBD99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输出标准化、机器可读的结构化数据（如JSON或数据库表结构），形成高质量的征信数据资产池，为后续用信行为建模、风险画像构建及监管报送提供可靠数据基础。</w:t>
      </w:r>
    </w:p>
    <w:p w14:paraId="5A457E1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（2）</w:t>
      </w:r>
      <w:r>
        <w:rPr>
          <w:rFonts w:hint="eastAsia" w:asciiTheme="minorEastAsia" w:hAnsiTheme="minorEastAsia" w:eastAsiaTheme="minorEastAsia" w:cstheme="minorEastAsia"/>
          <w:highlight w:val="none"/>
        </w:rPr>
        <w:t>对接乡村金融风险系统，实现征信驱动的风险预警与行为预判</w:t>
      </w:r>
    </w:p>
    <w:p w14:paraId="23C1F61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在前述结构化数据与智能分析结果的基础上，系统将与</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乡村金融振兴</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专项工作中的乡村金融风险监测与预警平台进行深度对接，重点服务于县域及农村地区普惠金融场景。</w:t>
      </w:r>
    </w:p>
    <w:p w14:paraId="2766467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5.网点建设智能助手</w:t>
      </w:r>
    </w:p>
    <w:p w14:paraId="4721AF5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w:t>
      </w:r>
      <w:r>
        <w:rPr>
          <w:rFonts w:hint="eastAsia" w:asciiTheme="minorEastAsia" w:hAnsiTheme="minorEastAsia" w:eastAsiaTheme="minorEastAsia" w:cstheme="minorEastAsia"/>
          <w:highlight w:val="none"/>
        </w:rPr>
        <w:t>构建网点建设标准化知识库，系统整合网点建设全周期所需的核心文档体系，包括应急预案、标准化操作流程指引、合同模板库、管理制度文件及技术规范标准等，并集成供应商全生命周期信息管理，涵盖供应商入围资质、履约评价记录及历史合作表现等关键数据。</w:t>
      </w:r>
    </w:p>
    <w:p w14:paraId="02804BE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（2）</w:t>
      </w:r>
      <w:r>
        <w:rPr>
          <w:rFonts w:hint="eastAsia" w:asciiTheme="minorEastAsia" w:hAnsiTheme="minorEastAsia" w:eastAsiaTheme="minorEastAsia" w:cstheme="minorEastAsia"/>
          <w:highlight w:val="none"/>
        </w:rPr>
        <w:t>在</w:t>
      </w:r>
      <w:r>
        <w:rPr>
          <w:rFonts w:hint="eastAsia" w:asciiTheme="minorEastAsia" w:hAnsiTheme="minorEastAsia" w:eastAsiaTheme="minorEastAsia" w:cstheme="minorEastAsia"/>
          <w:highlight w:val="none"/>
          <w:lang w:val="en-US" w:eastAsia="zh-CN"/>
        </w:rPr>
        <w:t>行内及时通讯工具</w:t>
      </w:r>
      <w:r>
        <w:rPr>
          <w:rFonts w:hint="eastAsia" w:asciiTheme="minorEastAsia" w:hAnsiTheme="minorEastAsia" w:eastAsiaTheme="minorEastAsia" w:cstheme="minorEastAsia"/>
          <w:highlight w:val="none"/>
        </w:rPr>
        <w:t>及数智魔方平台部署智能对话交互系统，支持用户通过自然语言提问，实时获取精准的制度解读、操作指引及常见问题解决方案，实现</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问即所得</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的智能服务体验。</w:t>
      </w:r>
    </w:p>
    <w:p w14:paraId="15AC18F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（3）</w:t>
      </w:r>
      <w:r>
        <w:rPr>
          <w:rFonts w:hint="eastAsia" w:asciiTheme="minorEastAsia" w:hAnsiTheme="minorEastAsia" w:eastAsiaTheme="minorEastAsia" w:cstheme="minorEastAsia"/>
          <w:highlight w:val="none"/>
        </w:rPr>
        <w:t>开发供应商智能查询功能模块，支持用户通过名称等条件检索，快速获取供应商基础信息、资质认证、历史合作记录及履约评价详情，提升供应商管理效率与决策科学性。</w:t>
      </w:r>
    </w:p>
    <w:p w14:paraId="379BC4A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6</w:t>
      </w:r>
      <w:r>
        <w:rPr>
          <w:rFonts w:hint="eastAsia" w:asciiTheme="minorEastAsia" w:hAnsiTheme="minorEastAsia" w:eastAsiaTheme="minorEastAsia" w:cstheme="minorEastAsia"/>
          <w:highlight w:val="none"/>
          <w:lang w:val="en-US" w:eastAsia="zh-CN"/>
        </w:rPr>
        <w:t>.</w:t>
      </w:r>
      <w:r>
        <w:rPr>
          <w:rFonts w:hint="eastAsia" w:asciiTheme="minorEastAsia" w:hAnsiTheme="minorEastAsia" w:eastAsiaTheme="minorEastAsia" w:cstheme="minorEastAsia"/>
          <w:highlight w:val="none"/>
        </w:rPr>
        <w:t>乡村金融支持</w:t>
      </w:r>
    </w:p>
    <w:p w14:paraId="3196945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w:t>
      </w:r>
      <w:r>
        <w:rPr>
          <w:rFonts w:hint="eastAsia" w:asciiTheme="minorEastAsia" w:hAnsiTheme="minorEastAsia" w:eastAsiaTheme="minorEastAsia" w:cstheme="minorEastAsia"/>
          <w:highlight w:val="none"/>
        </w:rPr>
        <w:t>持续扩充与优化乡村金融数据库，系统化完善乡村经济特征、农户信息、产业分布等核心数据，提升数据覆盖广度与应用深度。</w:t>
      </w:r>
    </w:p>
    <w:p w14:paraId="698E215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（2）</w:t>
      </w:r>
      <w:r>
        <w:rPr>
          <w:rFonts w:hint="eastAsia" w:asciiTheme="minorEastAsia" w:hAnsiTheme="minorEastAsia" w:eastAsiaTheme="minorEastAsia" w:cstheme="minorEastAsia"/>
          <w:highlight w:val="none"/>
        </w:rPr>
        <w:t>深化乡村信贷数据分析能力，优化乡村金融智能助手功能，通过智能分析模型提升信贷风险评估精准度，为乡村金融服务提供数据支撑。</w:t>
      </w:r>
    </w:p>
    <w:p w14:paraId="47B9CA5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（3）</w:t>
      </w:r>
      <w:r>
        <w:rPr>
          <w:rFonts w:hint="eastAsia" w:asciiTheme="minorEastAsia" w:hAnsiTheme="minorEastAsia" w:eastAsiaTheme="minorEastAsia" w:cstheme="minorEastAsia"/>
          <w:highlight w:val="none"/>
        </w:rPr>
        <w:t>新增文本智能处理模块，提供专业文本总结与润色服务，支持用户对活动方案、报告文档等进行智能提炼与语言优化，提升文本表达的专业性与规范性。</w:t>
      </w:r>
    </w:p>
    <w:p w14:paraId="1819EDD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7</w:t>
      </w:r>
      <w:r>
        <w:rPr>
          <w:rFonts w:hint="eastAsia" w:asciiTheme="minorEastAsia" w:hAnsiTheme="minorEastAsia" w:eastAsiaTheme="minorEastAsia" w:cstheme="minorEastAsia"/>
          <w:highlight w:val="none"/>
          <w:lang w:val="en-US" w:eastAsia="zh-CN"/>
        </w:rPr>
        <w:t>.</w:t>
      </w:r>
      <w:r>
        <w:rPr>
          <w:rFonts w:hint="eastAsia" w:asciiTheme="minorEastAsia" w:hAnsiTheme="minorEastAsia" w:eastAsiaTheme="minorEastAsia" w:cstheme="minorEastAsia"/>
          <w:highlight w:val="none"/>
        </w:rPr>
        <w:t>多模态模型对接与部署方案</w:t>
      </w:r>
    </w:p>
    <w:p w14:paraId="375C30B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w:t>
      </w:r>
      <w:r>
        <w:rPr>
          <w:rFonts w:hint="eastAsia" w:asciiTheme="minorEastAsia" w:hAnsiTheme="minorEastAsia" w:eastAsiaTheme="minorEastAsia" w:cstheme="minorEastAsia"/>
          <w:highlight w:val="none"/>
        </w:rPr>
        <w:t>国产化多模态模型部署</w:t>
      </w:r>
    </w:p>
    <w:p w14:paraId="3F082E9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在国家信息技术应用创新战略的指导下，本项目严格遵循自主可控、安全可信的原则，全面采用国产软硬件基础设施进行人工智能多模态模型的部署。具体包括：</w:t>
      </w:r>
    </w:p>
    <w:p w14:paraId="2454FF3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选用国产芯片（如昇腾、寒武纪、海光等）作为底层算力支撑；</w:t>
      </w:r>
    </w:p>
    <w:p w14:paraId="2D1B39B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搭载国产操作系统（如麒麟、统信UOS等）与中间件；</w:t>
      </w:r>
    </w:p>
    <w:p w14:paraId="0BCCCA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基于国产深度学习框架（如MindSpore、PaddlePaddle等）进行模型适配与优化。</w:t>
      </w:r>
    </w:p>
    <w:p w14:paraId="7E9EB1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在此基础上，部署具备多模态理解能力的大模型，支持对语音、图像、视频等多种非结构化数据的输入，并结合自然语言处理（NLP）技术，实现跨模态语义理解与信息融合，为上层业务提供统一、高效、安全的智能分析能力。</w:t>
      </w:r>
    </w:p>
    <w:p w14:paraId="2E6CB0D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（2）</w:t>
      </w:r>
      <w:r>
        <w:rPr>
          <w:rFonts w:hint="eastAsia" w:asciiTheme="minorEastAsia" w:hAnsiTheme="minorEastAsia" w:eastAsiaTheme="minorEastAsia" w:cstheme="minorEastAsia"/>
          <w:highlight w:val="none"/>
        </w:rPr>
        <w:t>纳入大模型中台统一管理体系，提供文字解析与内容抽取服务</w:t>
      </w:r>
    </w:p>
    <w:p w14:paraId="72B8DA8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在完成多模态模型的国产化部署后，将其无缝接入企业级大模型中台统一模型管理系统。该中台具备模型注册、版本管理、服务编排、性能监控、权限控制等核心功能，确保模型全生命周期的高效运维与安全管控。</w:t>
      </w:r>
    </w:p>
    <w:p w14:paraId="37F6BAF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通过标准化API接口，对外提供以下核心能力：</w:t>
      </w:r>
    </w:p>
    <w:p w14:paraId="6ED37E8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文字解析：支持对用户输入的文本进行语义理解、关键词提取、实体识别、情感分析等；</w:t>
      </w:r>
    </w:p>
    <w:p w14:paraId="28F8EF6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内容抽取：从结构化或非结构化文本中自动抽取关键信息（如时间、地点、人物、事件、关系等），形成结构化知识，支撑后续的智能问答、知识图谱构建、智能摘要等应用场景。</w:t>
      </w:r>
    </w:p>
    <w:p w14:paraId="5656C44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（3）</w:t>
      </w:r>
      <w:r>
        <w:rPr>
          <w:rFonts w:hint="eastAsia" w:asciiTheme="minorEastAsia" w:hAnsiTheme="minorEastAsia" w:eastAsiaTheme="minorEastAsia" w:cstheme="minorEastAsia"/>
          <w:highlight w:val="none"/>
        </w:rPr>
        <w:t>扩展多模态智能服务，赋能图像与音频内容理解</w:t>
      </w:r>
    </w:p>
    <w:p w14:paraId="223093A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在前述基础上，进一步开放多模态模型的高级能力，面向客户提供以下智能化服务：</w:t>
      </w:r>
    </w:p>
    <w:p w14:paraId="77B08D3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图像解析：支持对静态图像进行目标检测、OCR文字识别、场景分类、图像描述生成等；</w:t>
      </w:r>
    </w:p>
    <w:p w14:paraId="7DCED14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音频解析：实现语音转文字（ASR）、说话人识别、语种识别、关键词唤醒等功能；</w:t>
      </w:r>
    </w:p>
    <w:p w14:paraId="34E2593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视频内容理解：结合时序建模与空间特征提取，对视频进行关键帧抽取、动作识别、字幕生成与内容摘要；</w:t>
      </w:r>
    </w:p>
    <w:p w14:paraId="0B958AC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多模态内容总结与分析：融合图像、音频、文本等多源信息，自动生成跨模态摘要，提供内容合规性检测、敏感信息识别、主题聚类等高级分析能力。</w:t>
      </w:r>
    </w:p>
    <w:p w14:paraId="7FC4D07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通过上述三层能力体系的构建，不仅满足</w:t>
      </w:r>
      <w:r>
        <w:rPr>
          <w:rFonts w:hint="eastAsia" w:asciiTheme="minorEastAsia" w:hAnsiTheme="minorEastAsia" w:eastAsiaTheme="minorEastAsia" w:cstheme="minorEastAsia"/>
          <w:highlight w:val="none"/>
          <w:lang w:val="en-US" w:eastAsia="zh-CN"/>
        </w:rPr>
        <w:t>国产化</w:t>
      </w:r>
      <w:r>
        <w:rPr>
          <w:rFonts w:hint="eastAsia" w:asciiTheme="minorEastAsia" w:hAnsiTheme="minorEastAsia" w:eastAsiaTheme="minorEastAsia" w:cstheme="minorEastAsia"/>
          <w:highlight w:val="none"/>
        </w:rPr>
        <w:t>环境下的技术合规要求，更打造了一个安全、灵活、可扩展的多模态智能服务平台，全面支撑政府、金融、能源、交通等关键行业的智能化转型需求。</w:t>
      </w:r>
    </w:p>
    <w:p w14:paraId="4003877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8</w:t>
      </w:r>
      <w:r>
        <w:rPr>
          <w:rFonts w:hint="eastAsia" w:asciiTheme="minorEastAsia" w:hAnsiTheme="minorEastAsia" w:eastAsiaTheme="minorEastAsia" w:cstheme="minorEastAsia"/>
          <w:highlight w:val="none"/>
          <w:lang w:val="en-US" w:eastAsia="zh-CN"/>
        </w:rPr>
        <w:t>.</w:t>
      </w:r>
      <w:r>
        <w:rPr>
          <w:rFonts w:hint="eastAsia" w:asciiTheme="minorEastAsia" w:hAnsiTheme="minorEastAsia" w:eastAsiaTheme="minorEastAsia" w:cstheme="minorEastAsia"/>
          <w:highlight w:val="none"/>
        </w:rPr>
        <w:t>交易辅助系统</w:t>
      </w:r>
    </w:p>
    <w:p w14:paraId="3B9D5F5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为提升资金运营决策的科学性与前瞻性，探索人工智能技术在金融投资领域的深度应用，根据业务需求计划构建具备自主分析能力和辅助决策能力的一系列AI智能体。</w:t>
      </w:r>
    </w:p>
    <w:p w14:paraId="59C1234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该系列智能体能够通过机器学习与自然语言处理技术，实时采集交易数据、行情信息、政策动向、行业动态及舆情信息等多维度数据，分析专业机构发布的研报，对海量非结构化与结构化数据进行融合分析，识别潜在市场趋势与风险信号，给出专业的投资建议。</w:t>
      </w:r>
    </w:p>
    <w:p w14:paraId="48EDB81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在此基础上，AI智能体可为资金运营中心的交易员提供智能化的投资决策支持，包括资产配置建议、交易时机提示、风险预警等，有效提升决策效率与响应速度。该系统不仅增强了对复杂市场环境的适应能力，也为实现数据驱动、智能辅助的现代化资金管理新模式奠定了技术基础。</w:t>
      </w:r>
    </w:p>
    <w:p w14:paraId="685C15F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9</w:t>
      </w:r>
      <w:r>
        <w:rPr>
          <w:rFonts w:hint="eastAsia" w:asciiTheme="minorEastAsia" w:hAnsiTheme="minorEastAsia" w:eastAsiaTheme="minorEastAsia" w:cstheme="minorEastAsia"/>
          <w:highlight w:val="none"/>
          <w:lang w:val="en-US" w:eastAsia="zh-CN"/>
        </w:rPr>
        <w:t>.</w:t>
      </w:r>
      <w:r>
        <w:rPr>
          <w:rFonts w:hint="eastAsia" w:asciiTheme="minorEastAsia" w:hAnsiTheme="minorEastAsia" w:eastAsiaTheme="minorEastAsia" w:cstheme="minorEastAsia"/>
          <w:highlight w:val="none"/>
        </w:rPr>
        <w:t>预留开发需求</w:t>
      </w:r>
    </w:p>
    <w:p w14:paraId="7CD0070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（1）承接项目实施期间的零散人工智能场景落地需求</w:t>
      </w:r>
    </w:p>
    <w:p w14:paraId="4E755E8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★（三）项目团队要求</w:t>
      </w:r>
    </w:p>
    <w:p w14:paraId="0C36D3E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项目经理1人，具有不少于2个同类项目经验；团队其他人员具有不少于1个同类项目经验。项目全体人员要同时满足以下要求</w:t>
      </w:r>
      <w:r>
        <w:rPr>
          <w:rFonts w:hint="eastAsia" w:asciiTheme="minorEastAsia" w:hAnsiTheme="minorEastAsia" w:eastAsiaTheme="minorEastAsia" w:cstheme="minorEastAsia"/>
          <w:highlight w:val="none"/>
          <w:lang w:eastAsia="zh-CN"/>
        </w:rPr>
        <w:t>：</w:t>
      </w:r>
    </w:p>
    <w:p w14:paraId="2E64370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1.</w:t>
      </w:r>
      <w:r>
        <w:rPr>
          <w:rFonts w:hint="eastAsia" w:asciiTheme="minorEastAsia" w:hAnsiTheme="minorEastAsia" w:eastAsiaTheme="minorEastAsia" w:cstheme="minorEastAsia"/>
          <w:highlight w:val="none"/>
        </w:rPr>
        <w:t>深入理解Transformer架构，具备BERT、GPT、LLaMA、DeepSeek等模型的调优经验</w:t>
      </w:r>
      <w:r>
        <w:rPr>
          <w:rFonts w:hint="eastAsia" w:asciiTheme="minorEastAsia" w:hAnsiTheme="minorEastAsia" w:eastAsiaTheme="minorEastAsia" w:cstheme="minorEastAsia"/>
          <w:highlight w:val="none"/>
          <w:lang w:eastAsia="zh-CN"/>
        </w:rPr>
        <w:t>。</w:t>
      </w:r>
    </w:p>
    <w:p w14:paraId="2377477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2.</w:t>
      </w:r>
      <w:r>
        <w:rPr>
          <w:rFonts w:hint="eastAsia" w:asciiTheme="minorEastAsia" w:hAnsiTheme="minorEastAsia" w:eastAsiaTheme="minorEastAsia" w:cstheme="minorEastAsia"/>
          <w:highlight w:val="none"/>
        </w:rPr>
        <w:t>熟悉LangChain、LlamaIndex等LLM开发框架，了解RAG（检索增强生成）技术栈</w:t>
      </w:r>
      <w:r>
        <w:rPr>
          <w:rFonts w:hint="eastAsia" w:asciiTheme="minorEastAsia" w:hAnsiTheme="minorEastAsia" w:eastAsiaTheme="minorEastAsia" w:cstheme="minorEastAsia"/>
          <w:highlight w:val="none"/>
          <w:lang w:eastAsia="zh-CN"/>
        </w:rPr>
        <w:t>。</w:t>
      </w:r>
    </w:p>
    <w:p w14:paraId="165B391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3.</w:t>
      </w:r>
      <w:r>
        <w:rPr>
          <w:rFonts w:hint="eastAsia" w:asciiTheme="minorEastAsia" w:hAnsiTheme="minorEastAsia" w:eastAsiaTheme="minorEastAsia" w:cstheme="minorEastAsia"/>
          <w:highlight w:val="none"/>
        </w:rPr>
        <w:t>有模型服务化经验（如FastAPI、Docker、Kubernetes部署）</w:t>
      </w:r>
      <w:r>
        <w:rPr>
          <w:rFonts w:hint="eastAsia" w:asciiTheme="minorEastAsia" w:hAnsiTheme="minorEastAsia" w:eastAsiaTheme="minorEastAsia" w:cstheme="minorEastAsia"/>
          <w:highlight w:val="none"/>
          <w:lang w:eastAsia="zh-CN"/>
        </w:rPr>
        <w:t>。</w:t>
      </w:r>
    </w:p>
    <w:p w14:paraId="624B74F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4.</w:t>
      </w:r>
      <w:r>
        <w:rPr>
          <w:rFonts w:hint="eastAsia" w:asciiTheme="minorEastAsia" w:hAnsiTheme="minorEastAsia" w:eastAsiaTheme="minorEastAsia" w:cstheme="minorEastAsia"/>
          <w:highlight w:val="none"/>
        </w:rPr>
        <w:t>跟踪前沿技术（如多模态融合、Agent架构设计），推动创新技术在实际业务中的转化</w:t>
      </w:r>
      <w:r>
        <w:rPr>
          <w:rFonts w:hint="eastAsia" w:asciiTheme="minorEastAsia" w:hAnsiTheme="minorEastAsia" w:eastAsiaTheme="minorEastAsia" w:cstheme="minorEastAsia"/>
          <w:highlight w:val="none"/>
          <w:lang w:eastAsia="zh-CN"/>
        </w:rPr>
        <w:t>。</w:t>
      </w:r>
    </w:p>
    <w:p w14:paraId="54EFB7F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5.</w:t>
      </w:r>
      <w:r>
        <w:rPr>
          <w:rFonts w:hint="eastAsia" w:asciiTheme="minorEastAsia" w:hAnsiTheme="minorEastAsia" w:eastAsiaTheme="minorEastAsia" w:cstheme="minorEastAsia"/>
          <w:highlight w:val="none"/>
        </w:rPr>
        <w:t>熟悉</w:t>
      </w:r>
      <w:r>
        <w:rPr>
          <w:rFonts w:hint="eastAsia" w:asciiTheme="minorEastAsia" w:hAnsiTheme="minorEastAsia" w:eastAsiaTheme="minorEastAsia" w:cstheme="minorEastAsia"/>
          <w:highlight w:val="none"/>
          <w:lang w:val="en-US" w:eastAsia="zh-CN"/>
        </w:rPr>
        <w:t>同类系统建设</w:t>
      </w:r>
      <w:r>
        <w:rPr>
          <w:rFonts w:hint="eastAsia" w:asciiTheme="minorEastAsia" w:hAnsiTheme="minorEastAsia" w:eastAsiaTheme="minorEastAsia" w:cstheme="minorEastAsia"/>
          <w:highlight w:val="none"/>
        </w:rPr>
        <w:t>业务，能够完成新增业务功能的需求分析、系统设计工作。</w:t>
      </w:r>
    </w:p>
    <w:p w14:paraId="10CA37C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6.</w:t>
      </w:r>
      <w:r>
        <w:rPr>
          <w:rFonts w:hint="eastAsia" w:asciiTheme="minorEastAsia" w:hAnsiTheme="minorEastAsia" w:eastAsiaTheme="minorEastAsia" w:cstheme="minorEastAsia"/>
          <w:highlight w:val="none"/>
        </w:rPr>
        <w:t>熟练掌握</w:t>
      </w:r>
      <w:r>
        <w:rPr>
          <w:rFonts w:hint="eastAsia" w:asciiTheme="minorEastAsia" w:hAnsiTheme="minorEastAsia" w:eastAsiaTheme="minorEastAsia" w:cstheme="minorEastAsia"/>
          <w:highlight w:val="none"/>
          <w:lang w:val="en-US" w:eastAsia="zh-CN"/>
        </w:rPr>
        <w:t>JAVA、js、oracle、linux 、OceanBase、python等开发技术</w:t>
      </w:r>
      <w:r>
        <w:rPr>
          <w:rFonts w:hint="eastAsia" w:asciiTheme="minorEastAsia" w:hAnsiTheme="minorEastAsia" w:eastAsiaTheme="minorEastAsia" w:cstheme="minorEastAsia"/>
          <w:highlight w:val="none"/>
        </w:rPr>
        <w:t>。</w:t>
      </w:r>
    </w:p>
    <w:p w14:paraId="1EABBDE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7.</w:t>
      </w:r>
      <w:r>
        <w:rPr>
          <w:rFonts w:hint="eastAsia" w:asciiTheme="minorEastAsia" w:hAnsiTheme="minorEastAsia" w:eastAsiaTheme="minorEastAsia" w:cstheme="minorEastAsia"/>
          <w:highlight w:val="none"/>
        </w:rPr>
        <w:t>有较好的沟通和协调能力，积极主动的完成</w:t>
      </w:r>
      <w:r>
        <w:rPr>
          <w:rFonts w:hint="eastAsia" w:asciiTheme="minorEastAsia" w:hAnsiTheme="minorEastAsia" w:eastAsiaTheme="minorEastAsia" w:cstheme="minorEastAsia"/>
          <w:highlight w:val="none"/>
          <w:lang w:val="en-US" w:eastAsia="zh-CN"/>
        </w:rPr>
        <w:t>采购人</w:t>
      </w:r>
      <w:r>
        <w:rPr>
          <w:rFonts w:hint="eastAsia" w:asciiTheme="minorEastAsia" w:hAnsiTheme="minorEastAsia" w:eastAsiaTheme="minorEastAsia" w:cstheme="minorEastAsia"/>
          <w:highlight w:val="none"/>
        </w:rPr>
        <w:t>安排的各项工作任务，及时与</w:t>
      </w:r>
      <w:r>
        <w:rPr>
          <w:rFonts w:hint="eastAsia" w:asciiTheme="minorEastAsia" w:hAnsiTheme="minorEastAsia" w:eastAsiaTheme="minorEastAsia" w:cstheme="minorEastAsia"/>
          <w:highlight w:val="none"/>
          <w:lang w:val="en-US" w:eastAsia="zh-CN"/>
        </w:rPr>
        <w:t>采购人</w:t>
      </w:r>
      <w:r>
        <w:rPr>
          <w:rFonts w:hint="eastAsia" w:asciiTheme="minorEastAsia" w:hAnsiTheme="minorEastAsia" w:eastAsiaTheme="minorEastAsia" w:cstheme="minorEastAsia"/>
          <w:highlight w:val="none"/>
        </w:rPr>
        <w:t>负责人沟通，解决项目实施中遇到的各类问题。</w:t>
      </w:r>
    </w:p>
    <w:p w14:paraId="63F9582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lang w:val="en-US" w:eastAsia="zh-CN"/>
        </w:rPr>
        <w:t>四</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开发规范</w:t>
      </w:r>
    </w:p>
    <w:p w14:paraId="38BFE1B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投标人须承诺：</w:t>
      </w:r>
    </w:p>
    <w:p w14:paraId="1AE8D6F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1.</w:t>
      </w:r>
      <w:r>
        <w:rPr>
          <w:rFonts w:hint="eastAsia" w:asciiTheme="minorEastAsia" w:hAnsiTheme="minorEastAsia" w:eastAsiaTheme="minorEastAsia" w:cstheme="minorEastAsia"/>
          <w:highlight w:val="none"/>
        </w:rPr>
        <w:t>代码管理与版本控制规范</w:t>
      </w:r>
    </w:p>
    <w:p w14:paraId="6D77A0C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（1）必须使用行内代码管理平台进行源代码管理</w:t>
      </w:r>
      <w:r>
        <w:rPr>
          <w:rFonts w:hint="eastAsia" w:asciiTheme="minorEastAsia" w:hAnsiTheme="minorEastAsia" w:eastAsiaTheme="minorEastAsia" w:cstheme="minorEastAsia"/>
          <w:highlight w:val="none"/>
          <w:lang w:eastAsia="zh-CN"/>
        </w:rPr>
        <w:t>。</w:t>
      </w:r>
    </w:p>
    <w:p w14:paraId="3533C42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en-US" w:eastAsia="zh-CN"/>
        </w:rPr>
        <w:t>2</w:t>
      </w:r>
      <w:r>
        <w:rPr>
          <w:rFonts w:hint="eastAsia" w:asciiTheme="minorEastAsia" w:hAnsiTheme="minorEastAsia" w:eastAsiaTheme="minorEastAsia" w:cstheme="minorEastAsia"/>
          <w:highlight w:val="none"/>
        </w:rPr>
        <w:t>）代码分支：采用 GitFlow 分支模型，develop 分支为集成测试分支，功能开发在 feature</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 xml:space="preserve"> 分支进行，需从 develop 分支切出，合并回 develop 分支时必须通过 Pull Request</w:t>
      </w:r>
      <w:r>
        <w:rPr>
          <w:rFonts w:hint="eastAsia" w:asciiTheme="minorEastAsia" w:hAnsiTheme="minorEastAsia" w:eastAsiaTheme="minorEastAsia" w:cstheme="minorEastAsia"/>
          <w:highlight w:val="none"/>
          <w:lang w:val="en-US" w:eastAsia="zh-CN"/>
        </w:rPr>
        <w:t>；</w:t>
      </w:r>
    </w:p>
    <w:p w14:paraId="066D93E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en-US" w:eastAsia="zh-CN"/>
        </w:rPr>
        <w:t>3</w:t>
      </w:r>
      <w:r>
        <w:rPr>
          <w:rFonts w:hint="eastAsia" w:asciiTheme="minorEastAsia" w:hAnsiTheme="minorEastAsia" w:eastAsiaTheme="minorEastAsia" w:cstheme="minorEastAsia"/>
          <w:highlight w:val="none"/>
        </w:rPr>
        <w:t>）代码审查：代码合并前</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代码需经过</w:t>
      </w:r>
      <w:r>
        <w:rPr>
          <w:rFonts w:hint="eastAsia" w:asciiTheme="minorEastAsia" w:hAnsiTheme="minorEastAsia" w:eastAsiaTheme="minorEastAsia" w:cstheme="minorEastAsia"/>
          <w:highlight w:val="none"/>
          <w:lang w:val="en-US" w:eastAsia="zh-CN"/>
        </w:rPr>
        <w:t>采购人</w:t>
      </w:r>
      <w:r>
        <w:rPr>
          <w:rFonts w:hint="eastAsia" w:asciiTheme="minorEastAsia" w:hAnsiTheme="minorEastAsia" w:eastAsiaTheme="minorEastAsia" w:cstheme="minorEastAsia"/>
          <w:highlight w:val="none"/>
        </w:rPr>
        <w:t>的大模型代码质量扫描</w:t>
      </w:r>
      <w:r>
        <w:rPr>
          <w:rFonts w:hint="eastAsia" w:asciiTheme="minorEastAsia" w:hAnsiTheme="minorEastAsia" w:eastAsiaTheme="minorEastAsia" w:cstheme="minorEastAsia"/>
          <w:highlight w:val="none"/>
          <w:lang w:val="en-US" w:eastAsia="zh-CN"/>
        </w:rPr>
        <w:t>；</w:t>
      </w:r>
    </w:p>
    <w:p w14:paraId="0131D61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2</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代码开发规范</w:t>
      </w:r>
    </w:p>
    <w:p w14:paraId="1453E6A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（1）编程语言</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所有代码需符合语言官方编码规范（如 PEP 8、Google Java Style）</w:t>
      </w:r>
      <w:r>
        <w:rPr>
          <w:rFonts w:hint="eastAsia" w:asciiTheme="minorEastAsia" w:hAnsiTheme="minorEastAsia" w:eastAsiaTheme="minorEastAsia" w:cstheme="minorEastAsia"/>
          <w:highlight w:val="none"/>
          <w:lang w:val="en-US" w:eastAsia="zh-CN"/>
        </w:rPr>
        <w:t>；</w:t>
      </w:r>
    </w:p>
    <w:p w14:paraId="4E7E107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en-US" w:eastAsia="zh-CN"/>
        </w:rPr>
        <w:t>2</w:t>
      </w:r>
      <w:r>
        <w:rPr>
          <w:rFonts w:hint="eastAsia" w:asciiTheme="minorEastAsia" w:hAnsiTheme="minorEastAsia" w:eastAsiaTheme="minorEastAsia" w:cstheme="minorEastAsia"/>
          <w:highlight w:val="none"/>
        </w:rPr>
        <w:t>）注释与文档</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公共类、方法、接口必须添加规范的注释，说明功能、参数、返回值及异常</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关键算法、业务逻辑需补充行内注释；所有 API 接口需提供 OpenAPI 3.0 规范的接口文档</w:t>
      </w:r>
      <w:r>
        <w:rPr>
          <w:rFonts w:hint="eastAsia" w:asciiTheme="minorEastAsia" w:hAnsiTheme="minorEastAsia" w:eastAsiaTheme="minorEastAsia" w:cstheme="minorEastAsia"/>
          <w:highlight w:val="none"/>
          <w:lang w:val="en-US" w:eastAsia="zh-CN"/>
        </w:rPr>
        <w:t>；</w:t>
      </w:r>
    </w:p>
    <w:p w14:paraId="61922C7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en-US" w:eastAsia="zh-CN"/>
        </w:rPr>
        <w:t>3</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en-US" w:eastAsia="zh-CN"/>
        </w:rPr>
        <w:t>依赖管理：禁止引入未经验收的开源组件，所有第三方依赖需统一管理版本，并定期进行安全漏洞扫描；</w:t>
      </w:r>
    </w:p>
    <w:p w14:paraId="549E6F2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en-US" w:eastAsia="zh-CN"/>
        </w:rPr>
        <w:t>4</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eastAsia="zh-CN"/>
        </w:rPr>
        <w:t>数据库设计规范：</w:t>
      </w:r>
      <w:r>
        <w:rPr>
          <w:rFonts w:hint="eastAsia" w:asciiTheme="minorEastAsia" w:hAnsiTheme="minorEastAsia" w:eastAsiaTheme="minorEastAsia" w:cstheme="minorEastAsia"/>
          <w:highlight w:val="none"/>
        </w:rPr>
        <w:t>数据库设计需符合第三范式，关键业务表须提供 ER 图</w:t>
      </w:r>
      <w:r>
        <w:rPr>
          <w:rFonts w:hint="eastAsia" w:asciiTheme="minorEastAsia" w:hAnsiTheme="minorEastAsia" w:eastAsiaTheme="minorEastAsia" w:cstheme="minorEastAsia"/>
          <w:highlight w:val="none"/>
          <w:lang w:eastAsia="zh-CN"/>
        </w:rPr>
        <w:t>；所有表字段需有注释，索引需明确命名及使用场景；</w:t>
      </w:r>
      <w:r>
        <w:rPr>
          <w:rFonts w:hint="eastAsia" w:asciiTheme="minorEastAsia" w:hAnsiTheme="minorEastAsia" w:eastAsiaTheme="minorEastAsia" w:cstheme="minorEastAsia"/>
          <w:highlight w:val="none"/>
        </w:rPr>
        <w:t>禁止在代码中拼接 SQL，必须使用参数化查询或 ORM 框架</w:t>
      </w:r>
      <w:r>
        <w:rPr>
          <w:rFonts w:hint="eastAsia" w:asciiTheme="minorEastAsia" w:hAnsiTheme="minorEastAsia" w:eastAsiaTheme="minorEastAsia" w:cstheme="minorEastAsia"/>
          <w:highlight w:val="none"/>
          <w:lang w:val="en-US" w:eastAsia="zh-CN"/>
        </w:rPr>
        <w:t>；</w:t>
      </w:r>
    </w:p>
    <w:p w14:paraId="26031EB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en-US" w:eastAsia="zh-CN"/>
        </w:rPr>
        <w:t>5</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eastAsia="zh-CN"/>
        </w:rPr>
        <w:t>API 设计规范：遵循 RESTful 设计原则，接口路径清晰、资源化；</w:t>
      </w:r>
    </w:p>
    <w:p w14:paraId="736FA2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en-US" w:eastAsia="zh-CN"/>
        </w:rPr>
        <w:t>6</w:t>
      </w:r>
      <w:r>
        <w:rPr>
          <w:rFonts w:hint="eastAsia" w:asciiTheme="minorEastAsia" w:hAnsiTheme="minorEastAsia" w:eastAsiaTheme="minorEastAsia" w:cstheme="minorEastAsia"/>
          <w:highlight w:val="none"/>
        </w:rPr>
        <w:t>）所有接口需支持统一认证与鉴权，敏感接口需记录操作日志；响应格式统一为 JSON，包含 code、message、data 字段</w:t>
      </w:r>
      <w:r>
        <w:rPr>
          <w:rFonts w:hint="eastAsia" w:asciiTheme="minorEastAsia" w:hAnsiTheme="minorEastAsia" w:eastAsiaTheme="minorEastAsia" w:cstheme="minorEastAsia"/>
          <w:highlight w:val="none"/>
          <w:lang w:val="en-US" w:eastAsia="zh-CN"/>
        </w:rPr>
        <w:t>；</w:t>
      </w:r>
    </w:p>
    <w:p w14:paraId="088E597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en-US" w:eastAsia="zh-CN"/>
        </w:rPr>
        <w:t>7</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en-US" w:eastAsia="zh-CN"/>
        </w:rPr>
        <w:t>安全性</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定期扫描漏洞，上线前需通过</w:t>
      </w:r>
      <w:r>
        <w:rPr>
          <w:rFonts w:hint="eastAsia" w:asciiTheme="minorEastAsia" w:hAnsiTheme="minorEastAsia" w:eastAsiaTheme="minorEastAsia" w:cstheme="minorEastAsia"/>
          <w:highlight w:val="none"/>
          <w:lang w:val="en-US" w:eastAsia="zh-CN"/>
        </w:rPr>
        <w:t>采购人</w:t>
      </w:r>
      <w:r>
        <w:rPr>
          <w:rFonts w:hint="eastAsia" w:asciiTheme="minorEastAsia" w:hAnsiTheme="minorEastAsia" w:eastAsiaTheme="minorEastAsia" w:cstheme="minorEastAsia"/>
          <w:highlight w:val="none"/>
        </w:rPr>
        <w:t>的安全性评估测试</w:t>
      </w:r>
      <w:r>
        <w:rPr>
          <w:rFonts w:hint="eastAsia" w:asciiTheme="minorEastAsia" w:hAnsiTheme="minorEastAsia" w:eastAsiaTheme="minorEastAsia" w:cstheme="minorEastAsia"/>
          <w:highlight w:val="none"/>
          <w:lang w:eastAsia="zh-CN"/>
        </w:rPr>
        <w:t>；全部产品应无已知公开的中高危安全漏洞，并承诺无条件、及时地对后续新公开的相关漏洞进行修复</w:t>
      </w:r>
      <w:r>
        <w:rPr>
          <w:rFonts w:hint="eastAsia" w:asciiTheme="minorEastAsia" w:hAnsiTheme="minorEastAsia" w:eastAsiaTheme="minorEastAsia" w:cstheme="minorEastAsia"/>
          <w:highlight w:val="none"/>
          <w:lang w:val="en-US" w:eastAsia="zh-CN"/>
        </w:rPr>
        <w:t>；</w:t>
      </w:r>
    </w:p>
    <w:p w14:paraId="1DADA8A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en-US" w:eastAsia="zh-CN"/>
        </w:rPr>
        <w:t>8</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en-US" w:eastAsia="zh-CN"/>
        </w:rPr>
        <w:t>测试规范：单元测试覆盖率不低于 80%；测试用例需纳入采购人代码管理平台统一管理，与代码分支同步更新；</w:t>
      </w:r>
    </w:p>
    <w:p w14:paraId="471DE9B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en-US" w:eastAsia="zh-CN"/>
        </w:rPr>
        <w:t>9</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en-US" w:eastAsia="zh-CN"/>
        </w:rPr>
        <w:t>文档编写规范：开发的功能需填写必要的描述，需使用 Markdown 格式编写，统一归档于项目代码库 docs／ 目录。</w:t>
      </w:r>
    </w:p>
    <w:p w14:paraId="2684395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3.国产化</w:t>
      </w:r>
      <w:r>
        <w:rPr>
          <w:rFonts w:hint="eastAsia" w:asciiTheme="minorEastAsia" w:hAnsiTheme="minorEastAsia" w:eastAsiaTheme="minorEastAsia" w:cstheme="minorEastAsia"/>
          <w:highlight w:val="none"/>
        </w:rPr>
        <w:t>技术要求</w:t>
      </w:r>
    </w:p>
    <w:p w14:paraId="643FD6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eastAsia="zh-CN"/>
        </w:rPr>
      </w:pPr>
      <w:r>
        <w:rPr>
          <w:rFonts w:hint="eastAsia" w:asciiTheme="minorEastAsia" w:hAnsiTheme="minorEastAsia" w:eastAsiaTheme="minorEastAsia" w:cstheme="minorEastAsia"/>
          <w:highlight w:val="none"/>
          <w:lang w:eastAsia="zh-CN"/>
        </w:rPr>
        <w:t>涉及系统环境部署的，须服从</w:t>
      </w:r>
      <w:r>
        <w:rPr>
          <w:rFonts w:hint="eastAsia" w:asciiTheme="minorEastAsia" w:hAnsiTheme="minorEastAsia" w:eastAsiaTheme="minorEastAsia" w:cstheme="minorEastAsia"/>
          <w:highlight w:val="none"/>
          <w:lang w:val="en-US" w:eastAsia="zh-CN"/>
        </w:rPr>
        <w:t>采购人</w:t>
      </w:r>
      <w:r>
        <w:rPr>
          <w:rFonts w:hint="eastAsia" w:asciiTheme="minorEastAsia" w:hAnsiTheme="minorEastAsia" w:eastAsiaTheme="minorEastAsia" w:cstheme="minorEastAsia"/>
          <w:highlight w:val="none"/>
          <w:lang w:eastAsia="zh-CN"/>
        </w:rPr>
        <w:t>架构管理要求，支持全栈</w:t>
      </w:r>
      <w:r>
        <w:rPr>
          <w:rFonts w:hint="eastAsia" w:asciiTheme="minorEastAsia" w:hAnsiTheme="minorEastAsia" w:eastAsiaTheme="minorEastAsia" w:cstheme="minorEastAsia"/>
          <w:highlight w:val="none"/>
          <w:lang w:val="en-US" w:eastAsia="zh-CN"/>
        </w:rPr>
        <w:t>国产化</w:t>
      </w:r>
      <w:r>
        <w:rPr>
          <w:rFonts w:hint="eastAsia" w:asciiTheme="minorEastAsia" w:hAnsiTheme="minorEastAsia" w:eastAsiaTheme="minorEastAsia" w:cstheme="minorEastAsia"/>
          <w:highlight w:val="none"/>
          <w:lang w:eastAsia="zh-CN"/>
        </w:rPr>
        <w:t>环境搭建。服务器硬件环境须支持但不限于X86架构的海光芯片、ARM架构的鲲鹏芯片，操作系统须支持但不限于统信UOS服务器版，数据库须支持但不限于OceanBase、vastbase，中间件须支持但不限于宝兰德。涉及客户端软件安装的，操作系统需支持但不限于统信UOS、微软Windows。</w:t>
      </w:r>
    </w:p>
    <w:p w14:paraId="7A2275B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eastAsia="zh-CN"/>
        </w:rPr>
      </w:pPr>
    </w:p>
    <w:p w14:paraId="0E4A926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bookmarkStart w:id="137" w:name="_Toc732213439_WPSOffice_Level1"/>
      <w:bookmarkStart w:id="138" w:name="_Toc1884890464_WPSOffice_Level1"/>
      <w:bookmarkStart w:id="139" w:name="_Toc68903808_WPSOffice_Level1"/>
      <w:bookmarkStart w:id="140" w:name="_Toc1820041035_WPSOffice_Level1"/>
      <w:r>
        <w:rPr>
          <w:rFonts w:hint="eastAsia" w:asciiTheme="minorEastAsia" w:hAnsiTheme="minorEastAsia" w:eastAsiaTheme="minorEastAsia" w:cstheme="minorEastAsia"/>
          <w:highlight w:val="none"/>
        </w:rPr>
        <w:t>三、</w:t>
      </w:r>
      <w:r>
        <w:rPr>
          <w:rFonts w:hint="eastAsia" w:asciiTheme="minorEastAsia" w:hAnsiTheme="minorEastAsia" w:eastAsiaTheme="minorEastAsia" w:cstheme="minorEastAsia"/>
          <w:highlight w:val="none"/>
          <w:lang w:val="en-US" w:eastAsia="zh-CN"/>
        </w:rPr>
        <w:t>服务</w:t>
      </w:r>
      <w:r>
        <w:rPr>
          <w:rFonts w:hint="eastAsia" w:asciiTheme="minorEastAsia" w:hAnsiTheme="minorEastAsia" w:eastAsiaTheme="minorEastAsia" w:cstheme="minorEastAsia"/>
          <w:highlight w:val="none"/>
        </w:rPr>
        <w:t>地点、服务期限</w:t>
      </w:r>
      <w:bookmarkEnd w:id="137"/>
      <w:bookmarkEnd w:id="138"/>
      <w:bookmarkEnd w:id="139"/>
      <w:bookmarkEnd w:id="140"/>
    </w:p>
    <w:p w14:paraId="5649BF7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服务地点：南宁良庆区凯旋路15号桂林银行大厦</w:t>
      </w:r>
    </w:p>
    <w:p w14:paraId="5C97163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服务期限：自合同签订之日起1年</w:t>
      </w:r>
    </w:p>
    <w:p w14:paraId="7171826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验收方式：按需求验收</w:t>
      </w:r>
    </w:p>
    <w:p w14:paraId="2831825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验收标准：</w:t>
      </w:r>
    </w:p>
    <w:p w14:paraId="09E4A62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本项目将采用分阶段验收与最终验收相结合的方式。验收工作将基于项目需求文档中约定的范围，重点从功能性、性能、质量及文档完备性等多个维度进行综合考评。具体验收标准如下：</w:t>
      </w:r>
    </w:p>
    <w:p w14:paraId="194F870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（1）功能完备性验收</w:t>
      </w:r>
    </w:p>
    <w:p w14:paraId="6189D1E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1）核心功能交付：项目需求中定义的8项智能体底层平台开发与优化模块、8项业务领域人工智能应用落地与优化模块，必须全部开发完成并部署至测试或生产环境。</w:t>
      </w:r>
    </w:p>
    <w:p w14:paraId="7A7504E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2）功能可用性与准确性：所有交付功能需运行正常，无阻断性缺陷。关键业务场景（如智能对话取数、信贷审查报告解析、多模态内容解析等）的处理准确率与逻辑合理性需符合业务预期，满足日常运营要求。</w:t>
      </w:r>
    </w:p>
    <w:p w14:paraId="460DDF2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3）系统集成性：新建系统与平台（如MCP服务体系、大模型中台、数智魔方门户等）必须与行内指定现有系统（如行内及时通讯工具、乡村金融风险系统、“桂银查查”等）成功对接，实现数据顺畅流通与业务协同。</w:t>
      </w:r>
    </w:p>
    <w:p w14:paraId="142E482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（2）性能与用户体验验收</w:t>
      </w:r>
    </w:p>
    <w:p w14:paraId="51BAF83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1）系统性能：系统响应时间、并发处理能力、数据同步延迟（如数字大屏数据延迟〈10分钟）等关键性能指标，需达到或超过需求文档中约定的阈值。</w:t>
      </w:r>
    </w:p>
    <w:p w14:paraId="207D98A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2）界面与交互：前端界面（包括数字大屏、移动端、管理后台）布局正常，可视化图表显示准确，在不同分辨率及设备上适配良好。用户交互流程顺畅，符合设计原型与操作习惯。</w:t>
      </w:r>
    </w:p>
    <w:p w14:paraId="2BF48DC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（3）技术规范与质量验收</w:t>
      </w:r>
    </w:p>
    <w:p w14:paraId="299715E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1）代码与文档：交付的源代码必须完全遵守本项目“（四）开发规范”中的所有要求，并通过行内代码质量扫描。所有技术文档、API文档、用户操作手册等需齐全、准确、符合规范。</w:t>
      </w:r>
    </w:p>
    <w:p w14:paraId="3DC69E1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2）系统安全与稳定性：系统不存在高危安全漏洞，数据传输与存储符合行内安全加密要求。系统在连续稳定运行测试中，未出现因代码或架构设计缺陷导致的崩溃或服务不可用情况。</w:t>
      </w:r>
    </w:p>
    <w:p w14:paraId="1C8ED7B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（4）项目成果交付物验收：</w:t>
      </w:r>
    </w:p>
    <w:p w14:paraId="319C00E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中标供应商必须按合同约定，完整提交所有交付物，包括但不限于：源代码、数据库设计文档、系统架构图、部署脚本、测试报告、培训材料等。</w:t>
      </w:r>
    </w:p>
    <w:p w14:paraId="7E9B700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 xml:space="preserve">（5）最终验收评审：在所有分阶段验收通过后，由采购人组织最终验收评审。评审将基于整个服务期限内的系统运行情况、问题解决效率、以及上述所有标准的符合程度，出具最终验收结论。    </w:t>
      </w:r>
    </w:p>
    <w:p w14:paraId="6F38581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bookmarkStart w:id="141" w:name="_Toc1644900786_WPSOffice_Level1"/>
      <w:bookmarkStart w:id="142" w:name="_Toc273682855_WPSOffice_Level1"/>
      <w:bookmarkStart w:id="143" w:name="_Toc1188574560_WPSOffice_Level1"/>
      <w:bookmarkStart w:id="144" w:name="_Toc123741492_WPSOffice_Level1"/>
    </w:p>
    <w:p w14:paraId="5A7C47C0">
      <w:pPr>
        <w:keepNext w:val="0"/>
        <w:keepLines w:val="0"/>
        <w:pageBreakBefore w:val="0"/>
        <w:widowControl w:val="0"/>
        <w:kinsoku/>
        <w:wordWrap/>
        <w:overflowPunct/>
        <w:topLinePunct w:val="0"/>
        <w:autoSpaceDE/>
        <w:autoSpaceDN/>
        <w:bidi w:val="0"/>
        <w:adjustRightInd/>
        <w:snapToGrid/>
        <w:spacing w:line="400" w:lineRule="exact"/>
        <w:ind w:firstLine="418" w:firstLineChars="200"/>
        <w:textAlignment w:val="auto"/>
        <w:rPr>
          <w:rFonts w:hint="eastAsia" w:asciiTheme="minorEastAsia" w:hAnsiTheme="minorEastAsia" w:eastAsiaTheme="minorEastAsia" w:cstheme="minorEastAsia"/>
          <w:highlight w:val="none"/>
          <w:lang w:val="en-US" w:eastAsia="zh-CN"/>
        </w:rPr>
      </w:pPr>
      <w:r>
        <w:rPr>
          <w:rFonts w:hint="eastAsia" w:ascii="宋体" w:hAnsi="宋体" w:eastAsia="宋体" w:cs="宋体"/>
          <w:b/>
          <w:bCs/>
          <w:spacing w:val="-1"/>
          <w:sz w:val="21"/>
          <w:szCs w:val="21"/>
          <w:highlight w:val="none"/>
          <w:lang w:eastAsia="zh-CN"/>
        </w:rPr>
        <w:t>★</w:t>
      </w:r>
      <w:r>
        <w:rPr>
          <w:rFonts w:hint="eastAsia" w:asciiTheme="minorEastAsia" w:hAnsiTheme="minorEastAsia" w:eastAsiaTheme="minorEastAsia" w:cstheme="minorEastAsia"/>
          <w:highlight w:val="none"/>
          <w:lang w:val="en-US" w:eastAsia="zh-CN"/>
        </w:rPr>
        <w:t>四</w:t>
      </w:r>
      <w:r>
        <w:rPr>
          <w:rFonts w:hint="eastAsia" w:asciiTheme="minorEastAsia" w:hAnsiTheme="minorEastAsia" w:eastAsiaTheme="minorEastAsia" w:cstheme="minorEastAsia"/>
          <w:highlight w:val="none"/>
        </w:rPr>
        <w:t>、结算价款</w:t>
      </w:r>
    </w:p>
    <w:p w14:paraId="5B22E6C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1.项目分四期付款，达到项目合同要求后进行结算，方式如下：</w:t>
      </w:r>
    </w:p>
    <w:p w14:paraId="44DB3DF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2.第一期付款，完成并验收需求工作量达到需求工作总量的30%，经采购人出具书面验收报告，采购人向中标人支付合同总金额的30%。</w:t>
      </w:r>
    </w:p>
    <w:p w14:paraId="097170B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3.第二期付款，完成并验收需求工作量达到需求工作总量的 60%，经采购人出具书面验收报告，采购人向中标人支付合同总金额的 30%。</w:t>
      </w:r>
    </w:p>
    <w:p w14:paraId="6F898F4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4.第三期付款，完成并验收需求工作量达到需求工作总量的 100%，经采购人出具书面验收报告，采购人向中标人支付合同总金额的 30 %。</w:t>
      </w:r>
    </w:p>
    <w:p w14:paraId="7558F1D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5.第四期付款，《需求确认书》中所有需求完成并验收一年后，经采购人确认无遗留问题，采购人向中标人支付合同总金额的 10%。</w:t>
      </w:r>
      <w:bookmarkEnd w:id="141"/>
      <w:bookmarkEnd w:id="142"/>
      <w:bookmarkEnd w:id="143"/>
      <w:bookmarkEnd w:id="144"/>
    </w:p>
    <w:p w14:paraId="32C162F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bookmarkStart w:id="145" w:name="_Toc1883541075_WPSOffice_Level1"/>
      <w:bookmarkStart w:id="146" w:name="_Toc171865608_WPSOffice_Level1"/>
      <w:bookmarkStart w:id="147" w:name="_Toc94445928_WPSOffice_Level1"/>
      <w:bookmarkStart w:id="148" w:name="_Toc261277029_WPSOffice_Level1"/>
    </w:p>
    <w:p w14:paraId="5EC2351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五、付款方式</w:t>
      </w:r>
      <w:bookmarkEnd w:id="145"/>
      <w:bookmarkEnd w:id="146"/>
      <w:bookmarkEnd w:id="147"/>
      <w:bookmarkEnd w:id="148"/>
    </w:p>
    <w:p w14:paraId="1B58D1F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付款方式以合同签订时双方约定为准。</w:t>
      </w:r>
    </w:p>
    <w:p w14:paraId="55B393F1">
      <w:pPr>
        <w:pStyle w:val="2"/>
        <w:rPr>
          <w:highlight w:val="none"/>
        </w:rPr>
      </w:pPr>
    </w:p>
    <w:p w14:paraId="27143916">
      <w:pPr>
        <w:pStyle w:val="7"/>
        <w:rPr>
          <w:highlight w:val="none"/>
        </w:rPr>
      </w:pPr>
    </w:p>
    <w:p w14:paraId="32530F84">
      <w:pPr>
        <w:spacing w:line="400" w:lineRule="exact"/>
        <w:ind w:firstLine="418" w:firstLineChars="200"/>
        <w:rPr>
          <w:rFonts w:ascii="宋体" w:hAnsi="宋体" w:cs="宋体"/>
          <w:b/>
          <w:bCs/>
          <w:spacing w:val="-1"/>
          <w:highlight w:val="none"/>
        </w:rPr>
      </w:pPr>
      <w:r>
        <w:rPr>
          <w:rFonts w:ascii="Arial" w:hAnsi="Arial" w:cs="Arial"/>
          <w:b/>
          <w:bCs/>
          <w:spacing w:val="-1"/>
          <w:highlight w:val="none"/>
        </w:rPr>
        <w:t>注</w:t>
      </w:r>
      <w:r>
        <w:rPr>
          <w:b/>
          <w:bCs/>
          <w:highlight w:val="none"/>
        </w:rPr>
        <w:t>：</w:t>
      </w:r>
      <w:bookmarkStart w:id="149" w:name="bookmark148"/>
      <w:bookmarkEnd w:id="149"/>
      <w:r>
        <w:rPr>
          <w:rFonts w:hint="eastAsia" w:ascii="宋体" w:hAnsi="宋体" w:eastAsia="宋体" w:cs="宋体"/>
          <w:b/>
          <w:bCs/>
          <w:spacing w:val="-1"/>
          <w:sz w:val="21"/>
          <w:szCs w:val="21"/>
          <w:highlight w:val="none"/>
        </w:rPr>
        <w:t>文件中所有标注</w:t>
      </w:r>
      <w:r>
        <w:rPr>
          <w:rFonts w:hint="eastAsia" w:ascii="宋体" w:hAnsi="宋体" w:eastAsia="宋体" w:cs="宋体"/>
          <w:b/>
          <w:bCs/>
          <w:spacing w:val="-1"/>
          <w:sz w:val="21"/>
          <w:szCs w:val="21"/>
          <w:highlight w:val="none"/>
          <w:lang w:eastAsia="zh-CN"/>
        </w:rPr>
        <w:t>★</w:t>
      </w:r>
      <w:r>
        <w:rPr>
          <w:rFonts w:hint="eastAsia" w:ascii="宋体" w:hAnsi="宋体" w:eastAsia="宋体" w:cs="宋体"/>
          <w:b/>
          <w:bCs/>
          <w:spacing w:val="-1"/>
          <w:sz w:val="21"/>
          <w:szCs w:val="21"/>
          <w:highlight w:val="none"/>
        </w:rPr>
        <w:t>号的条款，不允许负偏离，否则投标将被否决</w:t>
      </w:r>
      <w:r>
        <w:rPr>
          <w:rFonts w:hint="eastAsia" w:ascii="宋体" w:hAnsi="宋体" w:cs="宋体"/>
          <w:b/>
          <w:bCs/>
          <w:spacing w:val="-1"/>
          <w:highlight w:val="none"/>
        </w:rPr>
        <w:t>。</w:t>
      </w:r>
    </w:p>
    <w:p w14:paraId="7FD60613">
      <w:pPr>
        <w:spacing w:line="400" w:lineRule="exact"/>
        <w:ind w:firstLine="843" w:firstLineChars="400"/>
        <w:rPr>
          <w:b/>
          <w:bCs/>
          <w:highlight w:val="none"/>
        </w:rPr>
      </w:pPr>
      <w:r>
        <w:rPr>
          <w:b/>
          <w:bCs/>
          <w:highlight w:val="none"/>
        </w:rPr>
        <w:t>可磋商内容：</w:t>
      </w:r>
      <w:r>
        <w:rPr>
          <w:rFonts w:hint="eastAsia"/>
          <w:b/>
          <w:bCs/>
          <w:highlight w:val="none"/>
        </w:rPr>
        <w:t>磋商</w:t>
      </w:r>
      <w:r>
        <w:rPr>
          <w:b/>
          <w:bCs/>
          <w:highlight w:val="none"/>
        </w:rPr>
        <w:t>文件中所有条款及需求均可磋商</w:t>
      </w:r>
      <w:r>
        <w:rPr>
          <w:rFonts w:ascii="Arial" w:hAnsi="Arial" w:cs="Arial"/>
          <w:b/>
          <w:bCs/>
          <w:spacing w:val="-1"/>
          <w:highlight w:val="none"/>
        </w:rPr>
        <w:t>。</w:t>
      </w:r>
    </w:p>
    <w:bookmarkEnd w:id="111"/>
    <w:p w14:paraId="183811C7">
      <w:pPr>
        <w:widowControl/>
        <w:spacing w:line="400" w:lineRule="exact"/>
        <w:ind w:firstLine="422" w:firstLineChars="200"/>
        <w:rPr>
          <w:rFonts w:asciiTheme="minorEastAsia" w:hAnsiTheme="minorEastAsia" w:eastAsiaTheme="minorEastAsia" w:cstheme="minorEastAsia"/>
          <w:b/>
          <w:highlight w:val="none"/>
        </w:rPr>
      </w:pPr>
    </w:p>
    <w:p w14:paraId="7D8FEFE4">
      <w:pPr>
        <w:pStyle w:val="213"/>
        <w:tabs>
          <w:tab w:val="right" w:leader="dot" w:pos="8306"/>
        </w:tabs>
        <w:spacing w:line="400" w:lineRule="exact"/>
        <w:ind w:firstLine="422" w:firstLineChars="200"/>
        <w:jc w:val="both"/>
        <w:rPr>
          <w:rFonts w:asciiTheme="minorEastAsia" w:hAnsiTheme="minorEastAsia" w:eastAsiaTheme="minorEastAsia" w:cstheme="minorEastAsia"/>
          <w:b/>
          <w:kern w:val="2"/>
          <w:sz w:val="21"/>
          <w:szCs w:val="21"/>
          <w:highlight w:val="none"/>
        </w:rPr>
      </w:pPr>
    </w:p>
    <w:p w14:paraId="43DAF2C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sectPr>
          <w:headerReference r:id="rId8" w:type="default"/>
          <w:footerReference r:id="rId9" w:type="default"/>
          <w:pgSz w:w="11905" w:h="16838"/>
          <w:pgMar w:top="1417" w:right="1361" w:bottom="1417" w:left="1361" w:header="850" w:footer="992" w:gutter="0"/>
          <w:cols w:space="0" w:num="1"/>
          <w:rtlGutter w:val="0"/>
          <w:docGrid w:type="lines" w:linePitch="312" w:charSpace="0"/>
        </w:sectPr>
      </w:pPr>
    </w:p>
    <w:p w14:paraId="2D5011AF">
      <w:pPr>
        <w:pStyle w:val="4"/>
        <w:rPr>
          <w:b/>
          <w:bCs/>
          <w:highlight w:val="none"/>
        </w:rPr>
      </w:pPr>
      <w:r>
        <w:rPr>
          <w:b/>
          <w:bCs/>
          <w:highlight w:val="none"/>
        </w:rPr>
        <w:t>履约评价表</w:t>
      </w:r>
    </w:p>
    <w:tbl>
      <w:tblPr>
        <w:tblStyle w:val="42"/>
        <w:tblW w:w="4999" w:type="pct"/>
        <w:jc w:val="center"/>
        <w:tblLayout w:type="autofit"/>
        <w:tblCellMar>
          <w:top w:w="0" w:type="dxa"/>
          <w:left w:w="108" w:type="dxa"/>
          <w:bottom w:w="0" w:type="dxa"/>
          <w:right w:w="108" w:type="dxa"/>
        </w:tblCellMar>
      </w:tblPr>
      <w:tblGrid>
        <w:gridCol w:w="716"/>
        <w:gridCol w:w="917"/>
        <w:gridCol w:w="312"/>
        <w:gridCol w:w="1152"/>
        <w:gridCol w:w="4999"/>
        <w:gridCol w:w="1301"/>
      </w:tblGrid>
      <w:tr w14:paraId="397F6A54">
        <w:tblPrEx>
          <w:tblCellMar>
            <w:top w:w="0" w:type="dxa"/>
            <w:left w:w="108" w:type="dxa"/>
            <w:bottom w:w="0" w:type="dxa"/>
            <w:right w:w="108" w:type="dxa"/>
          </w:tblCellMar>
        </w:tblPrEx>
        <w:trPr>
          <w:trHeight w:val="454" w:hRule="atLeast"/>
          <w:jc w:val="center"/>
        </w:trPr>
        <w:tc>
          <w:tcPr>
            <w:tcW w:w="869" w:type="pct"/>
            <w:gridSpan w:val="2"/>
            <w:tcBorders>
              <w:top w:val="single" w:color="000000" w:sz="4" w:space="0"/>
              <w:left w:val="single" w:color="000000" w:sz="4" w:space="0"/>
              <w:bottom w:val="single" w:color="000000" w:sz="4" w:space="0"/>
              <w:right w:val="single" w:color="000000" w:sz="4" w:space="0"/>
            </w:tcBorders>
            <w:noWrap/>
            <w:vAlign w:val="center"/>
          </w:tcPr>
          <w:p w14:paraId="39483968">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项目名称</w:t>
            </w:r>
          </w:p>
        </w:tc>
        <w:tc>
          <w:tcPr>
            <w:tcW w:w="4130" w:type="pct"/>
            <w:gridSpan w:val="4"/>
            <w:tcBorders>
              <w:top w:val="single" w:color="000000" w:sz="4" w:space="0"/>
              <w:left w:val="single" w:color="000000" w:sz="4" w:space="0"/>
              <w:bottom w:val="single" w:color="000000" w:sz="4" w:space="0"/>
              <w:right w:val="single" w:color="000000" w:sz="4" w:space="0"/>
            </w:tcBorders>
            <w:noWrap/>
            <w:vAlign w:val="center"/>
          </w:tcPr>
          <w:p w14:paraId="11A1F120">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桂林银行采购大模型AI智能体开发项目</w:t>
            </w:r>
          </w:p>
        </w:tc>
      </w:tr>
      <w:tr w14:paraId="49BF9CF9">
        <w:tblPrEx>
          <w:tblCellMar>
            <w:top w:w="0" w:type="dxa"/>
            <w:left w:w="108" w:type="dxa"/>
            <w:bottom w:w="0" w:type="dxa"/>
            <w:right w:w="108" w:type="dxa"/>
          </w:tblCellMar>
        </w:tblPrEx>
        <w:trPr>
          <w:trHeight w:val="454" w:hRule="atLeast"/>
          <w:jc w:val="center"/>
        </w:trPr>
        <w:tc>
          <w:tcPr>
            <w:tcW w:w="869" w:type="pct"/>
            <w:gridSpan w:val="2"/>
            <w:tcBorders>
              <w:top w:val="single" w:color="000000" w:sz="4" w:space="0"/>
              <w:left w:val="single" w:color="000000" w:sz="4" w:space="0"/>
              <w:bottom w:val="single" w:color="000000" w:sz="4" w:space="0"/>
              <w:right w:val="single" w:color="000000" w:sz="4" w:space="0"/>
            </w:tcBorders>
            <w:noWrap/>
            <w:vAlign w:val="center"/>
          </w:tcPr>
          <w:p w14:paraId="08F12A9B">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单位名称</w:t>
            </w:r>
          </w:p>
        </w:tc>
        <w:tc>
          <w:tcPr>
            <w:tcW w:w="4130" w:type="pct"/>
            <w:gridSpan w:val="4"/>
            <w:tcBorders>
              <w:top w:val="single" w:color="000000" w:sz="4" w:space="0"/>
              <w:left w:val="single" w:color="000000" w:sz="4" w:space="0"/>
              <w:bottom w:val="single" w:color="000000" w:sz="4" w:space="0"/>
              <w:right w:val="single" w:color="000000" w:sz="4" w:space="0"/>
            </w:tcBorders>
            <w:noWrap/>
            <w:vAlign w:val="center"/>
          </w:tcPr>
          <w:p w14:paraId="5CA13C43">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000000"/>
                <w:sz w:val="21"/>
                <w:szCs w:val="21"/>
                <w:highlight w:val="none"/>
                <w:lang w:val="en-US" w:eastAsia="zh-CN"/>
              </w:rPr>
            </w:pPr>
          </w:p>
        </w:tc>
      </w:tr>
      <w:tr w14:paraId="6CC4E818">
        <w:tblPrEx>
          <w:tblCellMar>
            <w:top w:w="0" w:type="dxa"/>
            <w:left w:w="108" w:type="dxa"/>
            <w:bottom w:w="0" w:type="dxa"/>
            <w:right w:w="108" w:type="dxa"/>
          </w:tblCellMar>
        </w:tblPrEx>
        <w:trPr>
          <w:trHeight w:val="2362" w:hRule="atLeast"/>
          <w:jc w:val="center"/>
        </w:trPr>
        <w:tc>
          <w:tcPr>
            <w:tcW w:w="869" w:type="pct"/>
            <w:gridSpan w:val="2"/>
            <w:tcBorders>
              <w:top w:val="single" w:color="000000" w:sz="4" w:space="0"/>
              <w:left w:val="single" w:color="000000" w:sz="4" w:space="0"/>
              <w:bottom w:val="single" w:color="000000" w:sz="4" w:space="0"/>
              <w:right w:val="single" w:color="000000" w:sz="4" w:space="0"/>
            </w:tcBorders>
            <w:noWrap w:val="0"/>
            <w:vAlign w:val="center"/>
          </w:tcPr>
          <w:p w14:paraId="474CC2FC">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评价描述（根据测试人员对规章制度的执行情况、服务期间的工作任务完成情况、服务质量等多方面进行综合评定</w:t>
            </w:r>
            <w:r>
              <w:rPr>
                <w:rStyle w:val="85"/>
                <w:rFonts w:hint="eastAsia" w:ascii="宋体" w:hAnsi="宋体" w:eastAsia="宋体" w:cs="宋体"/>
                <w:sz w:val="21"/>
                <w:szCs w:val="21"/>
                <w:highlight w:val="none"/>
                <w:lang w:bidi="ar"/>
              </w:rPr>
              <w:t>）</w:t>
            </w:r>
          </w:p>
        </w:tc>
        <w:tc>
          <w:tcPr>
            <w:tcW w:w="4130" w:type="pct"/>
            <w:gridSpan w:val="4"/>
            <w:tcBorders>
              <w:top w:val="single" w:color="000000" w:sz="4" w:space="0"/>
              <w:left w:val="single" w:color="000000" w:sz="4" w:space="0"/>
              <w:bottom w:val="single" w:color="000000" w:sz="4" w:space="0"/>
              <w:right w:val="single" w:color="000000" w:sz="4" w:space="0"/>
            </w:tcBorders>
            <w:noWrap/>
            <w:vAlign w:val="center"/>
          </w:tcPr>
          <w:p w14:paraId="3F7D7F3C">
            <w:pPr>
              <w:keepNext w:val="0"/>
              <w:keepLines w:val="0"/>
              <w:pageBreakBefore w:val="0"/>
              <w:widowControl/>
              <w:kinsoku/>
              <w:wordWrap/>
              <w:overflowPunct/>
              <w:topLinePunct w:val="0"/>
              <w:autoSpaceDE/>
              <w:autoSpaceDN/>
              <w:bidi w:val="0"/>
              <w:adjustRightInd/>
              <w:snapToGrid/>
              <w:spacing w:line="380" w:lineRule="exact"/>
              <w:ind w:firstLine="0" w:firstLineChars="0"/>
              <w:jc w:val="both"/>
              <w:rPr>
                <w:rFonts w:hint="eastAsia" w:ascii="宋体" w:hAnsi="宋体" w:eastAsia="宋体" w:cs="宋体"/>
                <w:color w:val="000000"/>
                <w:sz w:val="21"/>
                <w:szCs w:val="21"/>
                <w:highlight w:val="none"/>
                <w:lang w:val="en-US" w:eastAsia="zh-CN"/>
              </w:rPr>
            </w:pPr>
          </w:p>
        </w:tc>
      </w:tr>
      <w:tr w14:paraId="54A7969E">
        <w:tblPrEx>
          <w:tblCellMar>
            <w:top w:w="0" w:type="dxa"/>
            <w:left w:w="108" w:type="dxa"/>
            <w:bottom w:w="0" w:type="dxa"/>
            <w:right w:w="108" w:type="dxa"/>
          </w:tblCellMar>
        </w:tblPrEx>
        <w:trPr>
          <w:trHeight w:val="454" w:hRule="atLeast"/>
          <w:jc w:val="center"/>
        </w:trPr>
        <w:tc>
          <w:tcPr>
            <w:tcW w:w="869" w:type="pct"/>
            <w:gridSpan w:val="2"/>
            <w:tcBorders>
              <w:top w:val="single" w:color="000000" w:sz="4" w:space="0"/>
              <w:left w:val="single" w:color="000000" w:sz="4" w:space="0"/>
              <w:bottom w:val="single" w:color="000000" w:sz="4" w:space="0"/>
              <w:right w:val="single" w:color="000000" w:sz="4" w:space="0"/>
            </w:tcBorders>
            <w:noWrap/>
            <w:vAlign w:val="center"/>
          </w:tcPr>
          <w:p w14:paraId="7B1D6C06">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评价结果</w:t>
            </w:r>
          </w:p>
        </w:tc>
        <w:tc>
          <w:tcPr>
            <w:tcW w:w="4130" w:type="pct"/>
            <w:gridSpan w:val="4"/>
            <w:tcBorders>
              <w:top w:val="single" w:color="000000" w:sz="4" w:space="0"/>
              <w:left w:val="single" w:color="000000" w:sz="4" w:space="0"/>
              <w:bottom w:val="single" w:color="000000" w:sz="4" w:space="0"/>
              <w:right w:val="single" w:color="000000" w:sz="4" w:space="0"/>
            </w:tcBorders>
            <w:noWrap/>
            <w:vAlign w:val="center"/>
          </w:tcPr>
          <w:p w14:paraId="17AD68AE">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000000"/>
                <w:sz w:val="21"/>
                <w:szCs w:val="21"/>
                <w:highlight w:val="none"/>
              </w:rPr>
            </w:pPr>
          </w:p>
        </w:tc>
      </w:tr>
      <w:tr w14:paraId="1EC97524">
        <w:tblPrEx>
          <w:tblCellMar>
            <w:top w:w="0" w:type="dxa"/>
            <w:left w:w="108" w:type="dxa"/>
            <w:bottom w:w="0" w:type="dxa"/>
            <w:right w:w="108" w:type="dxa"/>
          </w:tblCellMar>
        </w:tblPrEx>
        <w:trPr>
          <w:trHeight w:val="454" w:hRule="atLeast"/>
          <w:jc w:val="center"/>
        </w:trPr>
        <w:tc>
          <w:tcPr>
            <w:tcW w:w="869" w:type="pct"/>
            <w:gridSpan w:val="2"/>
            <w:tcBorders>
              <w:top w:val="single" w:color="000000" w:sz="4" w:space="0"/>
              <w:left w:val="single" w:color="000000" w:sz="4" w:space="0"/>
              <w:bottom w:val="single" w:color="000000" w:sz="4" w:space="0"/>
              <w:right w:val="single" w:color="000000" w:sz="4" w:space="0"/>
            </w:tcBorders>
            <w:noWrap/>
            <w:vAlign w:val="center"/>
          </w:tcPr>
          <w:p w14:paraId="6A090E15">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备注</w:t>
            </w:r>
          </w:p>
        </w:tc>
        <w:tc>
          <w:tcPr>
            <w:tcW w:w="4130" w:type="pct"/>
            <w:gridSpan w:val="4"/>
            <w:tcBorders>
              <w:top w:val="single" w:color="000000" w:sz="4" w:space="0"/>
              <w:left w:val="single" w:color="000000" w:sz="4" w:space="0"/>
              <w:bottom w:val="single" w:color="000000" w:sz="4" w:space="0"/>
              <w:right w:val="single" w:color="000000" w:sz="4" w:space="0"/>
            </w:tcBorders>
            <w:noWrap/>
            <w:vAlign w:val="center"/>
          </w:tcPr>
          <w:p w14:paraId="70A3D341">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000000"/>
                <w:sz w:val="21"/>
                <w:szCs w:val="21"/>
                <w:highlight w:val="none"/>
              </w:rPr>
            </w:pPr>
          </w:p>
        </w:tc>
      </w:tr>
      <w:tr w14:paraId="72A4C7C0">
        <w:tblPrEx>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21B240A9">
            <w:pPr>
              <w:keepNext w:val="0"/>
              <w:keepLines w:val="0"/>
              <w:pageBreakBefore w:val="0"/>
              <w:widowControl/>
              <w:kinsoku/>
              <w:wordWrap/>
              <w:overflowPunct/>
              <w:topLinePunct w:val="0"/>
              <w:autoSpaceDE/>
              <w:autoSpaceDN/>
              <w:bidi w:val="0"/>
              <w:adjustRightInd/>
              <w:snapToGrid/>
              <w:spacing w:line="380" w:lineRule="exact"/>
              <w:ind w:firstLine="0" w:firstLineChars="0"/>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评分档次划分：</w:t>
            </w:r>
          </w:p>
        </w:tc>
      </w:tr>
      <w:tr w14:paraId="266E77EC">
        <w:tblPrEx>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0"/>
            <w:vAlign w:val="center"/>
          </w:tcPr>
          <w:p w14:paraId="5AB3C3C7">
            <w:pPr>
              <w:keepNext w:val="0"/>
              <w:keepLines w:val="0"/>
              <w:pageBreakBefore w:val="0"/>
              <w:widowControl/>
              <w:kinsoku/>
              <w:wordWrap/>
              <w:overflowPunct/>
              <w:topLinePunct w:val="0"/>
              <w:autoSpaceDE/>
              <w:autoSpaceDN/>
              <w:bidi w:val="0"/>
              <w:adjustRightInd/>
              <w:snapToGrid/>
              <w:spacing w:line="380" w:lineRule="exact"/>
              <w:ind w:firstLine="0" w:firstLineChars="0"/>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考核标准分优秀（90分及以上）、良好（80分及以上、90以下）、一般（60分及以上、80分以下）、不合格（60分以下）四个等级</w:t>
            </w:r>
          </w:p>
        </w:tc>
      </w:tr>
      <w:tr w14:paraId="20A17B70">
        <w:tblPrEx>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4DC368D3">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bidi="ar"/>
              </w:rPr>
              <w:t>履约评价指引细则</w:t>
            </w:r>
          </w:p>
        </w:tc>
      </w:tr>
      <w:tr w14:paraId="6B41AF87">
        <w:tblPrEx>
          <w:tblCellMar>
            <w:top w:w="0" w:type="dxa"/>
            <w:left w:w="108" w:type="dxa"/>
            <w:bottom w:w="0" w:type="dxa"/>
            <w:right w:w="108" w:type="dxa"/>
          </w:tblCellMar>
        </w:tblPrEx>
        <w:trPr>
          <w:trHeight w:val="296" w:hRule="atLeast"/>
          <w:jc w:val="center"/>
        </w:trPr>
        <w:tc>
          <w:tcPr>
            <w:tcW w:w="381" w:type="pct"/>
            <w:tcBorders>
              <w:top w:val="single" w:color="000000" w:sz="4" w:space="0"/>
              <w:left w:val="single" w:color="000000" w:sz="4" w:space="0"/>
              <w:bottom w:val="single" w:color="000000" w:sz="4" w:space="0"/>
              <w:right w:val="single" w:color="000000" w:sz="4" w:space="0"/>
            </w:tcBorders>
            <w:noWrap/>
            <w:vAlign w:val="center"/>
          </w:tcPr>
          <w:p w14:paraId="3A0A8B82">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序号</w:t>
            </w:r>
          </w:p>
        </w:tc>
        <w:tc>
          <w:tcPr>
            <w:tcW w:w="654" w:type="pct"/>
            <w:gridSpan w:val="2"/>
            <w:tcBorders>
              <w:top w:val="single" w:color="000000" w:sz="4" w:space="0"/>
              <w:left w:val="single" w:color="000000" w:sz="4" w:space="0"/>
              <w:bottom w:val="single" w:color="000000" w:sz="4" w:space="0"/>
              <w:right w:val="single" w:color="000000" w:sz="4" w:space="0"/>
            </w:tcBorders>
            <w:noWrap w:val="0"/>
            <w:vAlign w:val="center"/>
          </w:tcPr>
          <w:p w14:paraId="354A4C51">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分项内容</w:t>
            </w:r>
          </w:p>
        </w:tc>
        <w:tc>
          <w:tcPr>
            <w:tcW w:w="613" w:type="pct"/>
            <w:tcBorders>
              <w:top w:val="single" w:color="000000" w:sz="4" w:space="0"/>
              <w:left w:val="single" w:color="000000" w:sz="4" w:space="0"/>
              <w:bottom w:val="single" w:color="000000" w:sz="4" w:space="0"/>
              <w:right w:val="single" w:color="000000" w:sz="4" w:space="0"/>
            </w:tcBorders>
            <w:noWrap w:val="0"/>
            <w:vAlign w:val="center"/>
          </w:tcPr>
          <w:p w14:paraId="4485B976">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满分分值</w:t>
            </w:r>
          </w:p>
        </w:tc>
        <w:tc>
          <w:tcPr>
            <w:tcW w:w="2660" w:type="pct"/>
            <w:tcBorders>
              <w:top w:val="single" w:color="000000" w:sz="4" w:space="0"/>
              <w:left w:val="single" w:color="000000" w:sz="4" w:space="0"/>
              <w:bottom w:val="single" w:color="000000" w:sz="4" w:space="0"/>
              <w:right w:val="single" w:color="000000" w:sz="4" w:space="0"/>
            </w:tcBorders>
            <w:noWrap w:val="0"/>
            <w:vAlign w:val="center"/>
          </w:tcPr>
          <w:p w14:paraId="1BA39458">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评价标准</w:t>
            </w:r>
          </w:p>
        </w:tc>
        <w:tc>
          <w:tcPr>
            <w:tcW w:w="689" w:type="pct"/>
            <w:tcBorders>
              <w:top w:val="single" w:color="000000" w:sz="4" w:space="0"/>
              <w:left w:val="single" w:color="000000" w:sz="4" w:space="0"/>
              <w:bottom w:val="single" w:color="000000" w:sz="4" w:space="0"/>
              <w:right w:val="single" w:color="000000" w:sz="4" w:space="0"/>
            </w:tcBorders>
            <w:noWrap/>
            <w:vAlign w:val="center"/>
          </w:tcPr>
          <w:p w14:paraId="03D9CA49">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bidi="ar"/>
              </w:rPr>
              <w:t>评价得分</w:t>
            </w:r>
          </w:p>
        </w:tc>
      </w:tr>
      <w:tr w14:paraId="7C42A3AF">
        <w:tblPrEx>
          <w:tblCellMar>
            <w:top w:w="0" w:type="dxa"/>
            <w:left w:w="108" w:type="dxa"/>
            <w:bottom w:w="0" w:type="dxa"/>
            <w:right w:w="108" w:type="dxa"/>
          </w:tblCellMar>
        </w:tblPrEx>
        <w:trPr>
          <w:trHeight w:val="459" w:hRule="atLeast"/>
          <w:jc w:val="center"/>
        </w:trPr>
        <w:tc>
          <w:tcPr>
            <w:tcW w:w="381" w:type="pct"/>
            <w:tcBorders>
              <w:top w:val="single" w:color="000000" w:sz="4" w:space="0"/>
              <w:left w:val="single" w:color="000000" w:sz="4" w:space="0"/>
              <w:bottom w:val="single" w:color="000000" w:sz="4" w:space="0"/>
              <w:right w:val="single" w:color="000000" w:sz="4" w:space="0"/>
            </w:tcBorders>
            <w:noWrap/>
            <w:vAlign w:val="center"/>
          </w:tcPr>
          <w:p w14:paraId="18C1110D">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1</w:t>
            </w:r>
          </w:p>
        </w:tc>
        <w:tc>
          <w:tcPr>
            <w:tcW w:w="654" w:type="pct"/>
            <w:gridSpan w:val="2"/>
            <w:tcBorders>
              <w:top w:val="single" w:color="000000" w:sz="4" w:space="0"/>
              <w:left w:val="single" w:color="000000" w:sz="4" w:space="0"/>
              <w:bottom w:val="single" w:color="000000" w:sz="4" w:space="0"/>
              <w:right w:val="single" w:color="000000" w:sz="4" w:space="0"/>
            </w:tcBorders>
            <w:noWrap w:val="0"/>
            <w:vAlign w:val="center"/>
          </w:tcPr>
          <w:p w14:paraId="5C421D0F">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人员配备</w:t>
            </w:r>
          </w:p>
        </w:tc>
        <w:tc>
          <w:tcPr>
            <w:tcW w:w="613" w:type="pct"/>
            <w:tcBorders>
              <w:top w:val="single" w:color="000000" w:sz="4" w:space="0"/>
              <w:left w:val="single" w:color="000000" w:sz="4" w:space="0"/>
              <w:bottom w:val="single" w:color="000000" w:sz="4" w:space="0"/>
              <w:right w:val="single" w:color="000000" w:sz="4" w:space="0"/>
            </w:tcBorders>
            <w:noWrap/>
            <w:vAlign w:val="center"/>
          </w:tcPr>
          <w:p w14:paraId="317784CF">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bidi="ar"/>
              </w:rPr>
              <w:t>10</w:t>
            </w:r>
          </w:p>
        </w:tc>
        <w:tc>
          <w:tcPr>
            <w:tcW w:w="2660" w:type="pct"/>
            <w:tcBorders>
              <w:top w:val="single" w:color="000000" w:sz="4" w:space="0"/>
              <w:left w:val="single" w:color="000000" w:sz="4" w:space="0"/>
              <w:bottom w:val="single" w:color="000000" w:sz="4" w:space="0"/>
              <w:right w:val="single" w:color="000000" w:sz="4" w:space="0"/>
            </w:tcBorders>
            <w:noWrap w:val="0"/>
            <w:vAlign w:val="center"/>
          </w:tcPr>
          <w:p w14:paraId="0AFED371">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bidi="ar"/>
              </w:rPr>
              <w:t>项目实施人员是否具备相应资格并满足我行要求</w:t>
            </w:r>
          </w:p>
        </w:tc>
        <w:tc>
          <w:tcPr>
            <w:tcW w:w="689" w:type="pct"/>
            <w:tcBorders>
              <w:top w:val="single" w:color="000000" w:sz="4" w:space="0"/>
              <w:left w:val="single" w:color="000000" w:sz="4" w:space="0"/>
              <w:bottom w:val="single" w:color="000000" w:sz="4" w:space="0"/>
              <w:right w:val="single" w:color="000000" w:sz="4" w:space="0"/>
            </w:tcBorders>
            <w:noWrap/>
            <w:vAlign w:val="center"/>
          </w:tcPr>
          <w:p w14:paraId="71F1D2B9">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000000"/>
                <w:sz w:val="21"/>
                <w:szCs w:val="21"/>
                <w:highlight w:val="none"/>
              </w:rPr>
            </w:pPr>
          </w:p>
        </w:tc>
      </w:tr>
      <w:tr w14:paraId="2F103585">
        <w:tblPrEx>
          <w:tblCellMar>
            <w:top w:w="0" w:type="dxa"/>
            <w:left w:w="108" w:type="dxa"/>
            <w:bottom w:w="0" w:type="dxa"/>
            <w:right w:w="108" w:type="dxa"/>
          </w:tblCellMar>
        </w:tblPrEx>
        <w:trPr>
          <w:trHeight w:val="454" w:hRule="atLeast"/>
          <w:jc w:val="center"/>
        </w:trPr>
        <w:tc>
          <w:tcPr>
            <w:tcW w:w="381" w:type="pct"/>
            <w:tcBorders>
              <w:top w:val="single" w:color="000000" w:sz="4" w:space="0"/>
              <w:left w:val="single" w:color="000000" w:sz="4" w:space="0"/>
              <w:bottom w:val="single" w:color="000000" w:sz="4" w:space="0"/>
              <w:right w:val="single" w:color="000000" w:sz="4" w:space="0"/>
            </w:tcBorders>
            <w:noWrap/>
            <w:vAlign w:val="center"/>
          </w:tcPr>
          <w:p w14:paraId="29CE8AC4">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2</w:t>
            </w:r>
          </w:p>
        </w:tc>
        <w:tc>
          <w:tcPr>
            <w:tcW w:w="654" w:type="pct"/>
            <w:gridSpan w:val="2"/>
            <w:tcBorders>
              <w:top w:val="single" w:color="000000" w:sz="4" w:space="0"/>
              <w:left w:val="single" w:color="000000" w:sz="4" w:space="0"/>
              <w:bottom w:val="single" w:color="000000" w:sz="4" w:space="0"/>
              <w:right w:val="single" w:color="000000" w:sz="4" w:space="0"/>
            </w:tcBorders>
            <w:noWrap w:val="0"/>
            <w:vAlign w:val="center"/>
          </w:tcPr>
          <w:p w14:paraId="39DD2553">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bidi="ar"/>
              </w:rPr>
              <w:t>遵纪守规</w:t>
            </w:r>
          </w:p>
        </w:tc>
        <w:tc>
          <w:tcPr>
            <w:tcW w:w="613" w:type="pct"/>
            <w:tcBorders>
              <w:top w:val="single" w:color="000000" w:sz="4" w:space="0"/>
              <w:left w:val="single" w:color="000000" w:sz="4" w:space="0"/>
              <w:bottom w:val="single" w:color="000000" w:sz="4" w:space="0"/>
              <w:right w:val="single" w:color="000000" w:sz="4" w:space="0"/>
            </w:tcBorders>
            <w:noWrap/>
            <w:vAlign w:val="center"/>
          </w:tcPr>
          <w:p w14:paraId="319A032F">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default"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lang w:val="en-US" w:eastAsia="zh-CN" w:bidi="ar"/>
              </w:rPr>
              <w:t>10</w:t>
            </w:r>
          </w:p>
        </w:tc>
        <w:tc>
          <w:tcPr>
            <w:tcW w:w="2660" w:type="pct"/>
            <w:tcBorders>
              <w:top w:val="single" w:color="000000" w:sz="4" w:space="0"/>
              <w:left w:val="single" w:color="000000" w:sz="4" w:space="0"/>
              <w:bottom w:val="single" w:color="000000" w:sz="4" w:space="0"/>
              <w:right w:val="single" w:color="000000" w:sz="4" w:space="0"/>
            </w:tcBorders>
            <w:noWrap w:val="0"/>
            <w:vAlign w:val="center"/>
          </w:tcPr>
          <w:p w14:paraId="47B7678E">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bidi="ar"/>
              </w:rPr>
              <w:t>项目实施人员是否遵守我行规章制度；是否按照我行要求接入软硬件设备等；是否积极配合我行相关技术、业务部门的工作</w:t>
            </w:r>
            <w:r>
              <w:rPr>
                <w:rFonts w:hint="eastAsia" w:ascii="宋体" w:hAnsi="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是否按照我行规定签订保密协议并遵守执行</w:t>
            </w:r>
            <w:r>
              <w:rPr>
                <w:rFonts w:hint="eastAsia" w:ascii="宋体" w:hAnsi="宋体" w:eastAsia="宋体" w:cs="宋体"/>
                <w:color w:val="000000"/>
                <w:sz w:val="21"/>
                <w:szCs w:val="21"/>
                <w:highlight w:val="none"/>
                <w:lang w:eastAsia="zh-CN" w:bidi="ar"/>
              </w:rPr>
              <w:t>。</w:t>
            </w:r>
          </w:p>
        </w:tc>
        <w:tc>
          <w:tcPr>
            <w:tcW w:w="689" w:type="pct"/>
            <w:tcBorders>
              <w:top w:val="single" w:color="000000" w:sz="4" w:space="0"/>
              <w:left w:val="single" w:color="000000" w:sz="4" w:space="0"/>
              <w:bottom w:val="single" w:color="000000" w:sz="4" w:space="0"/>
              <w:right w:val="single" w:color="000000" w:sz="4" w:space="0"/>
            </w:tcBorders>
            <w:noWrap/>
            <w:vAlign w:val="center"/>
          </w:tcPr>
          <w:p w14:paraId="4CA7E9C0">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000000"/>
                <w:sz w:val="21"/>
                <w:szCs w:val="21"/>
                <w:highlight w:val="none"/>
              </w:rPr>
            </w:pPr>
          </w:p>
        </w:tc>
      </w:tr>
      <w:tr w14:paraId="7A52A42E">
        <w:tblPrEx>
          <w:tblCellMar>
            <w:top w:w="0" w:type="dxa"/>
            <w:left w:w="108" w:type="dxa"/>
            <w:bottom w:w="0" w:type="dxa"/>
            <w:right w:w="108" w:type="dxa"/>
          </w:tblCellMar>
        </w:tblPrEx>
        <w:trPr>
          <w:trHeight w:val="454" w:hRule="atLeast"/>
          <w:jc w:val="center"/>
        </w:trPr>
        <w:tc>
          <w:tcPr>
            <w:tcW w:w="381" w:type="pct"/>
            <w:tcBorders>
              <w:top w:val="single" w:color="000000" w:sz="4" w:space="0"/>
              <w:left w:val="single" w:color="000000" w:sz="4" w:space="0"/>
              <w:bottom w:val="single" w:color="000000" w:sz="4" w:space="0"/>
              <w:right w:val="single" w:color="000000" w:sz="4" w:space="0"/>
            </w:tcBorders>
            <w:noWrap/>
            <w:vAlign w:val="center"/>
          </w:tcPr>
          <w:p w14:paraId="0061023A">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bidi="ar"/>
              </w:rPr>
              <w:t>3</w:t>
            </w:r>
          </w:p>
        </w:tc>
        <w:tc>
          <w:tcPr>
            <w:tcW w:w="654" w:type="pct"/>
            <w:gridSpan w:val="2"/>
            <w:tcBorders>
              <w:top w:val="single" w:color="000000" w:sz="4" w:space="0"/>
              <w:left w:val="single" w:color="000000" w:sz="4" w:space="0"/>
              <w:bottom w:val="single" w:color="000000" w:sz="4" w:space="0"/>
              <w:right w:val="single" w:color="000000" w:sz="4" w:space="0"/>
            </w:tcBorders>
            <w:noWrap w:val="0"/>
            <w:vAlign w:val="center"/>
          </w:tcPr>
          <w:p w14:paraId="1B9B1310">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开发质量</w:t>
            </w:r>
          </w:p>
        </w:tc>
        <w:tc>
          <w:tcPr>
            <w:tcW w:w="613" w:type="pct"/>
            <w:tcBorders>
              <w:top w:val="single" w:color="000000" w:sz="4" w:space="0"/>
              <w:left w:val="single" w:color="000000" w:sz="4" w:space="0"/>
              <w:bottom w:val="single" w:color="000000" w:sz="4" w:space="0"/>
              <w:right w:val="single" w:color="000000" w:sz="4" w:space="0"/>
            </w:tcBorders>
            <w:noWrap/>
            <w:vAlign w:val="center"/>
          </w:tcPr>
          <w:p w14:paraId="72E969BE">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bidi="ar"/>
              </w:rPr>
              <w:t>40</w:t>
            </w:r>
          </w:p>
        </w:tc>
        <w:tc>
          <w:tcPr>
            <w:tcW w:w="2660" w:type="pct"/>
            <w:tcBorders>
              <w:top w:val="single" w:color="000000" w:sz="4" w:space="0"/>
              <w:left w:val="single" w:color="000000" w:sz="4" w:space="0"/>
              <w:bottom w:val="single" w:color="000000" w:sz="4" w:space="0"/>
              <w:right w:val="single" w:color="000000" w:sz="4" w:space="0"/>
            </w:tcBorders>
            <w:noWrap w:val="0"/>
            <w:vAlign w:val="center"/>
          </w:tcPr>
          <w:p w14:paraId="1E6A6017">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宋体" w:hAnsi="宋体" w:eastAsia="宋体" w:cs="宋体"/>
                <w:color w:val="000000"/>
                <w:sz w:val="21"/>
                <w:szCs w:val="21"/>
                <w:highlight w:val="none"/>
              </w:rPr>
            </w:pPr>
            <w:r>
              <w:rPr>
                <w:rFonts w:hint="eastAsia" w:ascii="Arial" w:hAnsi="Arial" w:cs="Arial"/>
                <w:color w:val="000000"/>
                <w:highlight w:val="none"/>
              </w:rPr>
              <w:t>乙方是否按照双方最终确认的《需求说明》的要求，如期完成开发维改工作,并向甲方提供开发软件相应的文档资料;测试阶段提供完整的测试案例;开发功能满足业务及监管需求，质量有保证。</w:t>
            </w:r>
          </w:p>
        </w:tc>
        <w:tc>
          <w:tcPr>
            <w:tcW w:w="689" w:type="pct"/>
            <w:tcBorders>
              <w:top w:val="single" w:color="000000" w:sz="4" w:space="0"/>
              <w:left w:val="single" w:color="000000" w:sz="4" w:space="0"/>
              <w:bottom w:val="single" w:color="000000" w:sz="4" w:space="0"/>
              <w:right w:val="single" w:color="000000" w:sz="4" w:space="0"/>
            </w:tcBorders>
            <w:noWrap/>
            <w:vAlign w:val="center"/>
          </w:tcPr>
          <w:p w14:paraId="59E11295">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000000"/>
                <w:sz w:val="21"/>
                <w:szCs w:val="21"/>
                <w:highlight w:val="none"/>
              </w:rPr>
            </w:pPr>
          </w:p>
        </w:tc>
      </w:tr>
      <w:tr w14:paraId="60877C07">
        <w:tblPrEx>
          <w:tblCellMar>
            <w:top w:w="0" w:type="dxa"/>
            <w:left w:w="108" w:type="dxa"/>
            <w:bottom w:w="0" w:type="dxa"/>
            <w:right w:w="108" w:type="dxa"/>
          </w:tblCellMar>
        </w:tblPrEx>
        <w:trPr>
          <w:trHeight w:val="454" w:hRule="atLeast"/>
          <w:jc w:val="center"/>
        </w:trPr>
        <w:tc>
          <w:tcPr>
            <w:tcW w:w="381" w:type="pct"/>
            <w:tcBorders>
              <w:top w:val="single" w:color="000000" w:sz="4" w:space="0"/>
              <w:left w:val="single" w:color="000000" w:sz="4" w:space="0"/>
              <w:bottom w:val="single" w:color="000000" w:sz="4" w:space="0"/>
              <w:right w:val="single" w:color="000000" w:sz="4" w:space="0"/>
            </w:tcBorders>
            <w:noWrap/>
            <w:vAlign w:val="center"/>
          </w:tcPr>
          <w:p w14:paraId="28638517">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cs="宋体"/>
                <w:color w:val="000000"/>
                <w:sz w:val="21"/>
                <w:szCs w:val="21"/>
                <w:highlight w:val="none"/>
                <w:lang w:val="en-US" w:eastAsia="zh-CN" w:bidi="ar"/>
              </w:rPr>
              <w:t>4</w:t>
            </w:r>
          </w:p>
        </w:tc>
        <w:tc>
          <w:tcPr>
            <w:tcW w:w="654" w:type="pct"/>
            <w:gridSpan w:val="2"/>
            <w:tcBorders>
              <w:top w:val="single" w:color="000000" w:sz="4" w:space="0"/>
              <w:left w:val="single" w:color="000000" w:sz="4" w:space="0"/>
              <w:bottom w:val="single" w:color="000000" w:sz="4" w:space="0"/>
              <w:right w:val="single" w:color="000000" w:sz="4" w:space="0"/>
            </w:tcBorders>
            <w:noWrap w:val="0"/>
            <w:vAlign w:val="center"/>
          </w:tcPr>
          <w:p w14:paraId="4DB4151B">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Arial" w:hAnsi="Arial" w:cs="Arial"/>
                <w:color w:val="000000"/>
                <w:highlight w:val="none"/>
              </w:rPr>
              <w:t>开发维护效率</w:t>
            </w:r>
          </w:p>
        </w:tc>
        <w:tc>
          <w:tcPr>
            <w:tcW w:w="613" w:type="pct"/>
            <w:tcBorders>
              <w:top w:val="single" w:color="000000" w:sz="4" w:space="0"/>
              <w:left w:val="single" w:color="000000" w:sz="4" w:space="0"/>
              <w:bottom w:val="single" w:color="000000" w:sz="4" w:space="0"/>
              <w:right w:val="single" w:color="000000" w:sz="4" w:space="0"/>
            </w:tcBorders>
            <w:noWrap/>
            <w:vAlign w:val="center"/>
          </w:tcPr>
          <w:p w14:paraId="3D8038CC">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bidi="ar"/>
              </w:rPr>
              <w:t>10</w:t>
            </w:r>
          </w:p>
        </w:tc>
        <w:tc>
          <w:tcPr>
            <w:tcW w:w="2660" w:type="pct"/>
            <w:tcBorders>
              <w:top w:val="single" w:color="000000" w:sz="4" w:space="0"/>
              <w:left w:val="single" w:color="000000" w:sz="4" w:space="0"/>
              <w:bottom w:val="single" w:color="000000" w:sz="4" w:space="0"/>
              <w:right w:val="single" w:color="000000" w:sz="4" w:space="0"/>
            </w:tcBorders>
            <w:noWrap w:val="0"/>
            <w:vAlign w:val="center"/>
          </w:tcPr>
          <w:p w14:paraId="461EAB9B">
            <w:pPr>
              <w:keepNext w:val="0"/>
              <w:keepLines w:val="0"/>
              <w:pageBreakBefore w:val="0"/>
              <w:widowControl/>
              <w:numPr>
                <w:ilvl w:val="0"/>
                <w:numId w:val="0"/>
              </w:numPr>
              <w:tabs>
                <w:tab w:val="left" w:pos="402"/>
              </w:tabs>
              <w:kinsoku/>
              <w:wordWrap/>
              <w:overflowPunct/>
              <w:topLinePunct w:val="0"/>
              <w:autoSpaceDE/>
              <w:autoSpaceDN/>
              <w:bidi w:val="0"/>
              <w:adjustRightInd/>
              <w:snapToGrid/>
              <w:spacing w:line="380" w:lineRule="exact"/>
              <w:ind w:left="0" w:leftChars="0" w:firstLine="0" w:firstLineChars="0"/>
              <w:jc w:val="both"/>
              <w:textAlignment w:val="center"/>
              <w:rPr>
                <w:rFonts w:hint="eastAsia" w:ascii="宋体" w:hAnsi="宋体" w:eastAsia="宋体" w:cs="宋体"/>
                <w:color w:val="000000"/>
                <w:sz w:val="21"/>
                <w:szCs w:val="21"/>
                <w:highlight w:val="none"/>
              </w:rPr>
            </w:pPr>
            <w:r>
              <w:rPr>
                <w:rFonts w:hint="eastAsia" w:ascii="Arial" w:hAnsi="Arial" w:cs="Arial"/>
                <w:color w:val="000000"/>
                <w:highlight w:val="none"/>
              </w:rPr>
              <w:t>在维护期内，乙方是否在规定时间内完成与开发系统运行有关的技术问题或需求。</w:t>
            </w:r>
          </w:p>
        </w:tc>
        <w:tc>
          <w:tcPr>
            <w:tcW w:w="689" w:type="pct"/>
            <w:tcBorders>
              <w:top w:val="single" w:color="000000" w:sz="4" w:space="0"/>
              <w:left w:val="single" w:color="000000" w:sz="4" w:space="0"/>
              <w:bottom w:val="single" w:color="000000" w:sz="4" w:space="0"/>
              <w:right w:val="single" w:color="000000" w:sz="4" w:space="0"/>
            </w:tcBorders>
            <w:noWrap/>
            <w:vAlign w:val="center"/>
          </w:tcPr>
          <w:p w14:paraId="43F394D0">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000000"/>
                <w:sz w:val="21"/>
                <w:szCs w:val="21"/>
                <w:highlight w:val="none"/>
              </w:rPr>
            </w:pPr>
          </w:p>
        </w:tc>
      </w:tr>
      <w:tr w14:paraId="67434C9E">
        <w:tblPrEx>
          <w:tblCellMar>
            <w:top w:w="0" w:type="dxa"/>
            <w:left w:w="108" w:type="dxa"/>
            <w:bottom w:w="0" w:type="dxa"/>
            <w:right w:w="108" w:type="dxa"/>
          </w:tblCellMar>
        </w:tblPrEx>
        <w:trPr>
          <w:trHeight w:val="454" w:hRule="atLeast"/>
          <w:jc w:val="center"/>
        </w:trPr>
        <w:tc>
          <w:tcPr>
            <w:tcW w:w="381" w:type="pct"/>
            <w:tcBorders>
              <w:top w:val="single" w:color="000000" w:sz="4" w:space="0"/>
              <w:left w:val="single" w:color="000000" w:sz="4" w:space="0"/>
              <w:bottom w:val="single" w:color="000000" w:sz="4" w:space="0"/>
              <w:right w:val="single" w:color="000000" w:sz="4" w:space="0"/>
            </w:tcBorders>
            <w:noWrap/>
            <w:vAlign w:val="center"/>
          </w:tcPr>
          <w:p w14:paraId="2F370DEA">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cs="宋体"/>
                <w:color w:val="000000"/>
                <w:sz w:val="21"/>
                <w:szCs w:val="21"/>
                <w:highlight w:val="none"/>
                <w:lang w:val="en-US" w:eastAsia="zh-CN" w:bidi="ar"/>
              </w:rPr>
              <w:t>5</w:t>
            </w:r>
          </w:p>
        </w:tc>
        <w:tc>
          <w:tcPr>
            <w:tcW w:w="654" w:type="pct"/>
            <w:gridSpan w:val="2"/>
            <w:tcBorders>
              <w:top w:val="single" w:color="000000" w:sz="4" w:space="0"/>
              <w:left w:val="single" w:color="000000" w:sz="4" w:space="0"/>
              <w:bottom w:val="single" w:color="000000" w:sz="4" w:space="0"/>
              <w:right w:val="single" w:color="000000" w:sz="4" w:space="0"/>
            </w:tcBorders>
            <w:noWrap w:val="0"/>
            <w:vAlign w:val="center"/>
          </w:tcPr>
          <w:p w14:paraId="685040B2">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Arial" w:hAnsi="Arial" w:cs="Arial"/>
                <w:color w:val="000000"/>
                <w:highlight w:val="none"/>
              </w:rPr>
              <w:t>协调配合与服务</w:t>
            </w:r>
          </w:p>
        </w:tc>
        <w:tc>
          <w:tcPr>
            <w:tcW w:w="613" w:type="pct"/>
            <w:tcBorders>
              <w:top w:val="single" w:color="000000" w:sz="4" w:space="0"/>
              <w:left w:val="single" w:color="000000" w:sz="4" w:space="0"/>
              <w:bottom w:val="single" w:color="000000" w:sz="4" w:space="0"/>
              <w:right w:val="single" w:color="000000" w:sz="4" w:space="0"/>
            </w:tcBorders>
            <w:noWrap/>
            <w:vAlign w:val="center"/>
          </w:tcPr>
          <w:p w14:paraId="3E20F0E4">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bidi="ar"/>
              </w:rPr>
              <w:t>10</w:t>
            </w:r>
          </w:p>
        </w:tc>
        <w:tc>
          <w:tcPr>
            <w:tcW w:w="2660" w:type="pct"/>
            <w:tcBorders>
              <w:top w:val="single" w:color="000000" w:sz="4" w:space="0"/>
              <w:left w:val="single" w:color="000000" w:sz="4" w:space="0"/>
              <w:bottom w:val="single" w:color="000000" w:sz="4" w:space="0"/>
              <w:right w:val="single" w:color="000000" w:sz="4" w:space="0"/>
            </w:tcBorders>
            <w:noWrap w:val="0"/>
            <w:vAlign w:val="center"/>
          </w:tcPr>
          <w:p w14:paraId="09EDCECE">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宋体" w:hAnsi="宋体" w:eastAsia="宋体" w:cs="宋体"/>
                <w:color w:val="000000"/>
                <w:sz w:val="21"/>
                <w:szCs w:val="21"/>
                <w:highlight w:val="none"/>
              </w:rPr>
            </w:pPr>
            <w:r>
              <w:rPr>
                <w:rFonts w:hint="eastAsia" w:ascii="Arial" w:hAnsi="Arial" w:cs="Arial"/>
                <w:color w:val="000000"/>
                <w:highlight w:val="none"/>
              </w:rPr>
              <w:t>是否积极配合我行相关技术、业务部门的工作</w:t>
            </w:r>
          </w:p>
        </w:tc>
        <w:tc>
          <w:tcPr>
            <w:tcW w:w="689" w:type="pct"/>
            <w:tcBorders>
              <w:top w:val="single" w:color="000000" w:sz="4" w:space="0"/>
              <w:left w:val="single" w:color="000000" w:sz="4" w:space="0"/>
              <w:bottom w:val="single" w:color="000000" w:sz="4" w:space="0"/>
              <w:right w:val="single" w:color="000000" w:sz="4" w:space="0"/>
            </w:tcBorders>
            <w:noWrap/>
            <w:vAlign w:val="center"/>
          </w:tcPr>
          <w:p w14:paraId="3B199B6C">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000000"/>
                <w:sz w:val="21"/>
                <w:szCs w:val="21"/>
                <w:highlight w:val="none"/>
              </w:rPr>
            </w:pPr>
          </w:p>
        </w:tc>
      </w:tr>
      <w:tr w14:paraId="31480630">
        <w:tblPrEx>
          <w:tblCellMar>
            <w:top w:w="0" w:type="dxa"/>
            <w:left w:w="108" w:type="dxa"/>
            <w:bottom w:w="0" w:type="dxa"/>
            <w:right w:w="108" w:type="dxa"/>
          </w:tblCellMar>
        </w:tblPrEx>
        <w:trPr>
          <w:trHeight w:val="454" w:hRule="atLeast"/>
          <w:jc w:val="center"/>
        </w:trPr>
        <w:tc>
          <w:tcPr>
            <w:tcW w:w="381" w:type="pct"/>
            <w:tcBorders>
              <w:top w:val="single" w:color="000000" w:sz="4" w:space="0"/>
              <w:left w:val="single" w:color="000000" w:sz="4" w:space="0"/>
              <w:bottom w:val="single" w:color="000000" w:sz="4" w:space="0"/>
              <w:right w:val="single" w:color="000000" w:sz="4" w:space="0"/>
            </w:tcBorders>
            <w:noWrap/>
            <w:vAlign w:val="center"/>
          </w:tcPr>
          <w:p w14:paraId="3A9711E3">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lang w:bidi="ar"/>
              </w:rPr>
            </w:pPr>
            <w:r>
              <w:rPr>
                <w:rFonts w:hint="eastAsia" w:ascii="宋体" w:hAnsi="宋体" w:cs="宋体"/>
                <w:color w:val="000000"/>
                <w:sz w:val="21"/>
                <w:szCs w:val="21"/>
                <w:highlight w:val="none"/>
                <w:lang w:val="en-US" w:eastAsia="zh-CN" w:bidi="ar"/>
              </w:rPr>
              <w:t>6</w:t>
            </w:r>
          </w:p>
        </w:tc>
        <w:tc>
          <w:tcPr>
            <w:tcW w:w="654" w:type="pct"/>
            <w:gridSpan w:val="2"/>
            <w:tcBorders>
              <w:top w:val="single" w:color="000000" w:sz="4" w:space="0"/>
              <w:left w:val="single" w:color="000000" w:sz="4" w:space="0"/>
              <w:bottom w:val="single" w:color="000000" w:sz="4" w:space="0"/>
              <w:right w:val="single" w:color="000000" w:sz="4" w:space="0"/>
            </w:tcBorders>
            <w:noWrap w:val="0"/>
            <w:vAlign w:val="center"/>
          </w:tcPr>
          <w:p w14:paraId="7035C097">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Arial" w:hAnsi="Arial" w:cs="Arial"/>
                <w:color w:val="000000"/>
                <w:highlight w:val="none"/>
              </w:rPr>
              <w:t>保密</w:t>
            </w:r>
          </w:p>
        </w:tc>
        <w:tc>
          <w:tcPr>
            <w:tcW w:w="613" w:type="pct"/>
            <w:tcBorders>
              <w:top w:val="single" w:color="000000" w:sz="4" w:space="0"/>
              <w:left w:val="single" w:color="000000" w:sz="4" w:space="0"/>
              <w:bottom w:val="single" w:color="000000" w:sz="4" w:space="0"/>
              <w:right w:val="single" w:color="000000" w:sz="4" w:space="0"/>
            </w:tcBorders>
            <w:noWrap/>
            <w:vAlign w:val="center"/>
          </w:tcPr>
          <w:p w14:paraId="329E5004">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bidi="ar"/>
              </w:rPr>
              <w:t>10</w:t>
            </w:r>
          </w:p>
        </w:tc>
        <w:tc>
          <w:tcPr>
            <w:tcW w:w="2660" w:type="pct"/>
            <w:tcBorders>
              <w:top w:val="single" w:color="000000" w:sz="4" w:space="0"/>
              <w:left w:val="single" w:color="000000" w:sz="4" w:space="0"/>
              <w:bottom w:val="single" w:color="000000" w:sz="4" w:space="0"/>
              <w:right w:val="single" w:color="000000" w:sz="4" w:space="0"/>
            </w:tcBorders>
            <w:noWrap w:val="0"/>
            <w:vAlign w:val="center"/>
          </w:tcPr>
          <w:p w14:paraId="33F715C4">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宋体" w:hAnsi="宋体" w:eastAsia="宋体" w:cs="宋体"/>
                <w:color w:val="000000"/>
                <w:sz w:val="21"/>
                <w:szCs w:val="21"/>
                <w:highlight w:val="none"/>
              </w:rPr>
            </w:pPr>
            <w:r>
              <w:rPr>
                <w:rFonts w:hint="eastAsia" w:ascii="Arial" w:hAnsi="Arial" w:cs="Arial"/>
                <w:color w:val="000000"/>
                <w:highlight w:val="none"/>
              </w:rPr>
              <w:t>是否按照我行规定签订保密协议并遵守执行</w:t>
            </w:r>
          </w:p>
        </w:tc>
        <w:tc>
          <w:tcPr>
            <w:tcW w:w="689" w:type="pct"/>
            <w:tcBorders>
              <w:top w:val="single" w:color="000000" w:sz="4" w:space="0"/>
              <w:left w:val="single" w:color="000000" w:sz="4" w:space="0"/>
              <w:bottom w:val="single" w:color="000000" w:sz="4" w:space="0"/>
              <w:right w:val="single" w:color="000000" w:sz="4" w:space="0"/>
            </w:tcBorders>
            <w:noWrap/>
            <w:vAlign w:val="center"/>
          </w:tcPr>
          <w:p w14:paraId="1F52298C">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宋体" w:hAnsi="宋体" w:eastAsia="宋体" w:cs="宋体"/>
                <w:color w:val="000000"/>
                <w:sz w:val="21"/>
                <w:szCs w:val="21"/>
                <w:highlight w:val="none"/>
              </w:rPr>
            </w:pPr>
          </w:p>
        </w:tc>
      </w:tr>
    </w:tbl>
    <w:p w14:paraId="30A8C151">
      <w:pPr>
        <w:rPr>
          <w:highlight w:val="none"/>
        </w:rPr>
      </w:pPr>
    </w:p>
    <w:p w14:paraId="245769C4">
      <w:pPr>
        <w:pStyle w:val="8"/>
        <w:jc w:val="center"/>
        <w:rPr>
          <w:sz w:val="32"/>
          <w:szCs w:val="32"/>
          <w:highlight w:val="none"/>
        </w:rPr>
      </w:pPr>
      <w:r>
        <w:rPr>
          <w:kern w:val="0"/>
          <w:sz w:val="24"/>
          <w:szCs w:val="24"/>
          <w:highlight w:val="none"/>
        </w:rPr>
        <w:br w:type="page"/>
      </w:r>
      <w:bookmarkStart w:id="150" w:name="_Toc21662"/>
      <w:bookmarkStart w:id="151" w:name="_Toc20187"/>
      <w:bookmarkStart w:id="152" w:name="_Toc20704"/>
      <w:bookmarkStart w:id="153" w:name="_Toc17254"/>
      <w:bookmarkStart w:id="154" w:name="_Toc29712"/>
      <w:bookmarkStart w:id="155" w:name="_Toc23197"/>
      <w:bookmarkStart w:id="156" w:name="_Toc15266"/>
      <w:bookmarkStart w:id="157" w:name="_Toc27073"/>
      <w:bookmarkStart w:id="158" w:name="_Toc11770"/>
      <w:bookmarkStart w:id="159" w:name="_Toc6590"/>
      <w:bookmarkStart w:id="160" w:name="_Toc29038"/>
      <w:bookmarkStart w:id="161" w:name="_Toc9328"/>
      <w:bookmarkStart w:id="162" w:name="_Toc29925"/>
      <w:bookmarkStart w:id="163" w:name="_Toc1993"/>
      <w:bookmarkStart w:id="164" w:name="_Toc12074"/>
      <w:bookmarkStart w:id="165" w:name="_Toc32196"/>
      <w:bookmarkStart w:id="166" w:name="_Toc1736"/>
      <w:bookmarkStart w:id="167" w:name="_Toc18831"/>
      <w:bookmarkStart w:id="168" w:name="_Toc31585"/>
      <w:bookmarkStart w:id="169" w:name="_Toc6636"/>
      <w:bookmarkStart w:id="170" w:name="_Toc32010"/>
      <w:bookmarkStart w:id="171" w:name="_Toc2539"/>
      <w:bookmarkStart w:id="172" w:name="_Toc15484"/>
      <w:bookmarkStart w:id="173" w:name="_Toc1637"/>
      <w:bookmarkStart w:id="174" w:name="_Toc16183"/>
      <w:bookmarkStart w:id="175" w:name="_Toc11576"/>
      <w:bookmarkStart w:id="176" w:name="_Toc20975"/>
      <w:bookmarkStart w:id="177" w:name="_Toc15513"/>
      <w:bookmarkStart w:id="178" w:name="_Toc13872"/>
      <w:bookmarkStart w:id="179" w:name="_Toc15226"/>
      <w:bookmarkStart w:id="180" w:name="_Toc16502"/>
      <w:bookmarkStart w:id="181" w:name="_Toc10096"/>
      <w:bookmarkStart w:id="182" w:name="_Toc11077"/>
      <w:r>
        <w:rPr>
          <w:sz w:val="32"/>
          <w:szCs w:val="32"/>
          <w:highlight w:val="none"/>
        </w:rPr>
        <w:t>第四章  评审方法和评分标准</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065FE76E">
      <w:pPr>
        <w:pStyle w:val="28"/>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一、评审方法</w:t>
      </w:r>
    </w:p>
    <w:p w14:paraId="325417EC">
      <w:pPr>
        <w:pStyle w:val="28"/>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（一）评审委员会组成</w:t>
      </w:r>
    </w:p>
    <w:p w14:paraId="3A70FA6D">
      <w:pPr>
        <w:pStyle w:val="28"/>
        <w:spacing w:line="400" w:lineRule="exact"/>
        <w:ind w:firstLine="420" w:firstLineChars="200"/>
        <w:jc w:val="left"/>
        <w:rPr>
          <w:rFonts w:ascii="Times New Roman" w:hAnsi="Times New Roman" w:eastAsia="宋体" w:cs="Times New Roman"/>
          <w:highlight w:val="none"/>
        </w:rPr>
      </w:pPr>
      <w:r>
        <w:rPr>
          <w:rFonts w:ascii="Times New Roman" w:hAnsi="Times New Roman" w:eastAsia="宋体" w:cs="Times New Roman"/>
          <w:highlight w:val="none"/>
        </w:rPr>
        <w:t>评审委员会成员组成：由采购评审专家共3人以上的单数组成。</w:t>
      </w:r>
    </w:p>
    <w:p w14:paraId="1B3EBECC">
      <w:pPr>
        <w:pStyle w:val="28"/>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（二）评审原则</w:t>
      </w:r>
    </w:p>
    <w:p w14:paraId="19A1A667">
      <w:pPr>
        <w:tabs>
          <w:tab w:val="left" w:pos="1140"/>
        </w:tabs>
        <w:spacing w:line="400" w:lineRule="exact"/>
        <w:ind w:firstLine="420" w:firstLineChars="200"/>
        <w:rPr>
          <w:highlight w:val="none"/>
        </w:rPr>
      </w:pPr>
      <w:r>
        <w:rPr>
          <w:highlight w:val="none"/>
        </w:rPr>
        <w:t>1.评审委员会必须坚持公平、公正、科学和择优的原则。</w:t>
      </w:r>
    </w:p>
    <w:p w14:paraId="5B7AD99A">
      <w:pPr>
        <w:spacing w:line="400" w:lineRule="exact"/>
        <w:ind w:firstLine="420" w:firstLineChars="200"/>
        <w:rPr>
          <w:highlight w:val="none"/>
        </w:rPr>
      </w:pPr>
      <w:r>
        <w:rPr>
          <w:highlight w:val="none"/>
        </w:rPr>
        <w:t>2.在评审过程中，评审委员会任何人不得对某个</w:t>
      </w:r>
      <w:r>
        <w:rPr>
          <w:rFonts w:hint="eastAsia"/>
          <w:highlight w:val="none"/>
        </w:rPr>
        <w:t>投标人</w:t>
      </w:r>
      <w:r>
        <w:rPr>
          <w:highlight w:val="none"/>
        </w:rPr>
        <w:t>发表任何倾向性意见，不得向其他专家评委明示或者暗示自己的评审意见。</w:t>
      </w:r>
    </w:p>
    <w:p w14:paraId="377602B7">
      <w:pPr>
        <w:pStyle w:val="28"/>
        <w:spacing w:line="400" w:lineRule="exact"/>
        <w:ind w:firstLine="420" w:firstLineChars="200"/>
        <w:jc w:val="left"/>
        <w:rPr>
          <w:rFonts w:ascii="Times New Roman" w:hAnsi="Times New Roman" w:eastAsia="宋体" w:cs="Times New Roman"/>
          <w:highlight w:val="none"/>
        </w:rPr>
      </w:pPr>
      <w:r>
        <w:rPr>
          <w:rFonts w:ascii="Times New Roman" w:hAnsi="Times New Roman" w:eastAsia="宋体" w:cs="Times New Roman"/>
          <w:highlight w:val="none"/>
        </w:rPr>
        <w:t>3.评审委员会成员对需要共同认定的事项存在争议的，按照少数服从多数的原则作出结论。持不同意见的评审委员会成员应当在评审报告上签署不同意见并说明理由，否则视为同意。</w:t>
      </w:r>
    </w:p>
    <w:p w14:paraId="173AB96F">
      <w:pPr>
        <w:pStyle w:val="28"/>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（三）评审要求</w:t>
      </w:r>
    </w:p>
    <w:p w14:paraId="51CD4AFC">
      <w:pPr>
        <w:spacing w:line="400" w:lineRule="exact"/>
        <w:ind w:firstLine="420" w:firstLineChars="200"/>
        <w:rPr>
          <w:highlight w:val="none"/>
        </w:rPr>
      </w:pPr>
      <w:r>
        <w:rPr>
          <w:highlight w:val="none"/>
        </w:rPr>
        <w:t>1.桂林银行核实评审委员会成员身份，告知回避要求，宣布评审工作纪律和程序。</w:t>
      </w:r>
    </w:p>
    <w:p w14:paraId="5807FCB6">
      <w:pPr>
        <w:tabs>
          <w:tab w:val="left" w:pos="1140"/>
        </w:tabs>
        <w:spacing w:line="400" w:lineRule="exact"/>
        <w:ind w:firstLine="420" w:firstLineChars="200"/>
        <w:rPr>
          <w:highlight w:val="none"/>
        </w:rPr>
      </w:pPr>
      <w:r>
        <w:rPr>
          <w:highlight w:val="none"/>
        </w:rPr>
        <w:t>2.评审委员会依据法律法规和磋商文件的规定，对响应文件中的资格证明等进行初步审查，以确定</w:t>
      </w:r>
      <w:r>
        <w:rPr>
          <w:rFonts w:hint="eastAsia"/>
          <w:highlight w:val="none"/>
        </w:rPr>
        <w:t>投标人</w:t>
      </w:r>
      <w:r>
        <w:rPr>
          <w:highlight w:val="none"/>
        </w:rPr>
        <w:t>是否具备磋商资格及是否对磋商文件的实质性要求作出响应，对于磋商文件中所有标注</w:t>
      </w:r>
      <w:r>
        <w:rPr>
          <w:b/>
          <w:bCs/>
          <w:highlight w:val="none"/>
        </w:rPr>
        <w:t>★</w:t>
      </w:r>
      <w:r>
        <w:rPr>
          <w:highlight w:val="none"/>
        </w:rPr>
        <w:t>号的实质性条款要求响应均无负偏离。</w:t>
      </w:r>
    </w:p>
    <w:p w14:paraId="61A615CD">
      <w:pPr>
        <w:tabs>
          <w:tab w:val="left" w:pos="1140"/>
        </w:tabs>
        <w:spacing w:line="400" w:lineRule="exact"/>
        <w:ind w:firstLine="420" w:firstLineChars="200"/>
        <w:rPr>
          <w:highlight w:val="none"/>
        </w:rPr>
      </w:pPr>
      <w:r>
        <w:rPr>
          <w:highlight w:val="none"/>
        </w:rPr>
        <w:t>3.评审委员会按磋商文件对资格性审查和符合性审查合格的响应文件进行商务和技术评估，综合比较与评价。</w:t>
      </w:r>
    </w:p>
    <w:p w14:paraId="048F3EAE">
      <w:pPr>
        <w:spacing w:line="400" w:lineRule="exact"/>
        <w:ind w:firstLine="420" w:firstLineChars="200"/>
        <w:rPr>
          <w:highlight w:val="none"/>
        </w:rPr>
      </w:pPr>
      <w:r>
        <w:rPr>
          <w:highlight w:val="none"/>
        </w:rPr>
        <w:t>4.桂林银行对评审数据进行校对、核对，对畸高、畸低的重大差异评分提示评审委员会复核或书面说明理由。</w:t>
      </w:r>
    </w:p>
    <w:p w14:paraId="6D3C8CE4">
      <w:pPr>
        <w:spacing w:line="400" w:lineRule="exact"/>
        <w:ind w:firstLine="420" w:firstLineChars="200"/>
        <w:rPr>
          <w:highlight w:val="none"/>
        </w:rPr>
      </w:pPr>
      <w:r>
        <w:rPr>
          <w:highlight w:val="none"/>
        </w:rPr>
        <w:t>5.桂林银行发现评审委员会有明显的违规倾向或歧视现象，或不按评标办法进行，或其他不正常行为的，应当及时制止。</w:t>
      </w:r>
    </w:p>
    <w:p w14:paraId="1239F03B">
      <w:pPr>
        <w:spacing w:line="400" w:lineRule="exact"/>
        <w:ind w:firstLine="422" w:firstLineChars="200"/>
        <w:rPr>
          <w:b/>
          <w:bCs/>
          <w:highlight w:val="none"/>
        </w:rPr>
      </w:pPr>
      <w:r>
        <w:rPr>
          <w:b/>
          <w:bCs/>
          <w:highlight w:val="none"/>
        </w:rPr>
        <w:t>（四）评审程序</w:t>
      </w:r>
    </w:p>
    <w:p w14:paraId="5CC9C28D">
      <w:pPr>
        <w:pStyle w:val="4"/>
        <w:spacing w:after="0" w:line="400" w:lineRule="exact"/>
        <w:ind w:firstLine="420" w:firstLineChars="200"/>
        <w:rPr>
          <w:highlight w:val="none"/>
        </w:rPr>
      </w:pPr>
      <w:r>
        <w:rPr>
          <w:highlight w:val="none"/>
        </w:rPr>
        <w:t>1.宣布磋商会议开始。</w:t>
      </w:r>
    </w:p>
    <w:p w14:paraId="683D4066">
      <w:pPr>
        <w:pStyle w:val="4"/>
        <w:widowControl/>
        <w:spacing w:after="0" w:line="400" w:lineRule="exact"/>
        <w:ind w:firstLine="420" w:firstLineChars="200"/>
        <w:rPr>
          <w:highlight w:val="none"/>
        </w:rPr>
      </w:pPr>
      <w:r>
        <w:rPr>
          <w:highlight w:val="none"/>
        </w:rPr>
        <w:t>2.评审响应文件。</w:t>
      </w:r>
    </w:p>
    <w:p w14:paraId="00579ECE">
      <w:pPr>
        <w:pStyle w:val="4"/>
        <w:widowControl/>
        <w:spacing w:after="0" w:line="400" w:lineRule="exact"/>
        <w:ind w:firstLine="420" w:firstLineChars="200"/>
        <w:rPr>
          <w:highlight w:val="none"/>
        </w:rPr>
      </w:pPr>
      <w:r>
        <w:rPr>
          <w:highlight w:val="none"/>
        </w:rPr>
        <w:t>3.磋商。</w:t>
      </w:r>
    </w:p>
    <w:p w14:paraId="7253B01D">
      <w:pPr>
        <w:spacing w:line="400" w:lineRule="exact"/>
        <w:ind w:firstLine="420" w:firstLineChars="200"/>
        <w:rPr>
          <w:highlight w:val="none"/>
        </w:rPr>
      </w:pPr>
      <w:r>
        <w:rPr>
          <w:highlight w:val="none"/>
        </w:rPr>
        <w:t>4.最后报价。</w:t>
      </w:r>
    </w:p>
    <w:p w14:paraId="2126C132">
      <w:pPr>
        <w:pStyle w:val="4"/>
        <w:spacing w:after="0" w:line="400" w:lineRule="exact"/>
        <w:ind w:firstLine="420" w:firstLineChars="200"/>
        <w:rPr>
          <w:highlight w:val="none"/>
        </w:rPr>
      </w:pPr>
      <w:r>
        <w:rPr>
          <w:highlight w:val="none"/>
        </w:rPr>
        <w:t>5.推荐中标</w:t>
      </w:r>
      <w:r>
        <w:rPr>
          <w:rFonts w:hint="eastAsia"/>
          <w:highlight w:val="none"/>
        </w:rPr>
        <w:t>人</w:t>
      </w:r>
      <w:r>
        <w:rPr>
          <w:highlight w:val="none"/>
        </w:rPr>
        <w:t>名单。</w:t>
      </w:r>
    </w:p>
    <w:p w14:paraId="7919234B">
      <w:pPr>
        <w:spacing w:line="400" w:lineRule="exact"/>
        <w:ind w:firstLine="422" w:firstLineChars="200"/>
        <w:rPr>
          <w:b/>
          <w:bCs/>
          <w:highlight w:val="none"/>
        </w:rPr>
      </w:pPr>
      <w:r>
        <w:rPr>
          <w:b/>
          <w:bCs/>
          <w:highlight w:val="none"/>
        </w:rPr>
        <w:t>（五）澄清问题的形式</w:t>
      </w:r>
    </w:p>
    <w:p w14:paraId="6922965B">
      <w:pPr>
        <w:spacing w:line="400" w:lineRule="exact"/>
        <w:ind w:firstLine="420" w:firstLineChars="200"/>
        <w:rPr>
          <w:highlight w:val="none"/>
        </w:rPr>
      </w:pPr>
      <w:r>
        <w:rPr>
          <w:highlight w:val="none"/>
        </w:rPr>
        <w:t>对响应文件中含义不明确、同类问题表述不一致或者有明显文字和计算错误的内容，评审委员会可以书面形式要求</w:t>
      </w:r>
      <w:r>
        <w:rPr>
          <w:rFonts w:hint="eastAsia"/>
          <w:highlight w:val="none"/>
        </w:rPr>
        <w:t>投标人</w:t>
      </w:r>
      <w:r>
        <w:rPr>
          <w:highlight w:val="none"/>
        </w:rPr>
        <w:t>作出必要的澄清、说明或者纠正。</w:t>
      </w:r>
      <w:r>
        <w:rPr>
          <w:rFonts w:hint="eastAsia"/>
          <w:highlight w:val="none"/>
        </w:rPr>
        <w:t>投标人</w:t>
      </w:r>
      <w:r>
        <w:rPr>
          <w:highlight w:val="none"/>
        </w:rPr>
        <w:t>的澄清、说明或者纠正应当采用书面形式，由法定代表人或委托代理人签字或盖章确认，并不得超出响应文件的范围或者改变响应文件实质性内容。</w:t>
      </w:r>
    </w:p>
    <w:p w14:paraId="001D7A16">
      <w:pPr>
        <w:spacing w:line="400" w:lineRule="exact"/>
        <w:ind w:firstLine="422" w:firstLineChars="200"/>
        <w:rPr>
          <w:b/>
          <w:bCs/>
          <w:highlight w:val="none"/>
        </w:rPr>
      </w:pPr>
      <w:r>
        <w:rPr>
          <w:b/>
          <w:bCs/>
          <w:highlight w:val="none"/>
        </w:rPr>
        <w:t>（六）错误修正</w:t>
      </w:r>
    </w:p>
    <w:p w14:paraId="10EA1D49">
      <w:pPr>
        <w:spacing w:line="400" w:lineRule="exact"/>
        <w:ind w:firstLine="420" w:firstLineChars="200"/>
        <w:rPr>
          <w:highlight w:val="none"/>
        </w:rPr>
      </w:pPr>
      <w:r>
        <w:rPr>
          <w:highlight w:val="none"/>
        </w:rPr>
        <w:t>响应文件如果出现计算或者表达上的错误，修正错误的原则如下：</w:t>
      </w:r>
    </w:p>
    <w:p w14:paraId="4E70A59B">
      <w:pPr>
        <w:spacing w:line="400" w:lineRule="exact"/>
        <w:ind w:firstLine="420" w:firstLineChars="200"/>
        <w:rPr>
          <w:highlight w:val="none"/>
        </w:rPr>
      </w:pPr>
      <w:r>
        <w:rPr>
          <w:highlight w:val="none"/>
        </w:rPr>
        <w:t>1.报价文件的大写金额与小写金额不一致的，以大写金额为准；</w:t>
      </w:r>
    </w:p>
    <w:p w14:paraId="1D64B93A">
      <w:pPr>
        <w:spacing w:line="400" w:lineRule="exact"/>
        <w:ind w:firstLine="420" w:firstLineChars="200"/>
        <w:rPr>
          <w:highlight w:val="none"/>
        </w:rPr>
      </w:pPr>
      <w:r>
        <w:rPr>
          <w:highlight w:val="none"/>
        </w:rPr>
        <w:t>2.总价金额与按单价汇总金额不一致的，以单价金额计算结果为准；单价金额小数点有明显错位的，应以总价为准，并修改单价。</w:t>
      </w:r>
    </w:p>
    <w:p w14:paraId="71D9976A">
      <w:pPr>
        <w:spacing w:line="400" w:lineRule="exact"/>
        <w:ind w:firstLine="420" w:firstLineChars="200"/>
        <w:rPr>
          <w:highlight w:val="none"/>
        </w:rPr>
      </w:pPr>
      <w:r>
        <w:rPr>
          <w:highlight w:val="none"/>
        </w:rPr>
        <w:t>按上述修正错误的原则及方法调整或修正响应文件的投标报价，</w:t>
      </w:r>
      <w:r>
        <w:rPr>
          <w:rFonts w:hint="eastAsia"/>
          <w:highlight w:val="none"/>
        </w:rPr>
        <w:t>投标人</w:t>
      </w:r>
      <w:r>
        <w:rPr>
          <w:highlight w:val="none"/>
        </w:rPr>
        <w:t>同意并签字确认后，调整后的投标报价对</w:t>
      </w:r>
      <w:r>
        <w:rPr>
          <w:rFonts w:hint="eastAsia"/>
          <w:highlight w:val="none"/>
        </w:rPr>
        <w:t>投标人</w:t>
      </w:r>
      <w:r>
        <w:rPr>
          <w:highlight w:val="none"/>
        </w:rPr>
        <w:t>具有约束作用。如果</w:t>
      </w:r>
      <w:r>
        <w:rPr>
          <w:rFonts w:hint="eastAsia"/>
          <w:highlight w:val="none"/>
        </w:rPr>
        <w:t>投标人</w:t>
      </w:r>
      <w:r>
        <w:rPr>
          <w:highlight w:val="none"/>
        </w:rPr>
        <w:t>不接受修正后的报价，则其磋商将作为无效磋商处理。</w:t>
      </w:r>
    </w:p>
    <w:p w14:paraId="7D826889">
      <w:pPr>
        <w:snapToGrid w:val="0"/>
        <w:spacing w:line="400" w:lineRule="exact"/>
        <w:ind w:firstLine="422" w:firstLineChars="200"/>
        <w:outlineLvl w:val="4"/>
        <w:rPr>
          <w:b/>
          <w:bCs/>
          <w:highlight w:val="none"/>
        </w:rPr>
      </w:pPr>
      <w:r>
        <w:rPr>
          <w:b/>
          <w:bCs/>
          <w:highlight w:val="none"/>
        </w:rPr>
        <w:t>（七）磋商</w:t>
      </w:r>
    </w:p>
    <w:p w14:paraId="5B4D827A">
      <w:pPr>
        <w:snapToGrid w:val="0"/>
        <w:spacing w:line="400" w:lineRule="exact"/>
        <w:ind w:firstLine="420" w:firstLineChars="200"/>
        <w:rPr>
          <w:highlight w:val="none"/>
        </w:rPr>
      </w:pPr>
      <w:r>
        <w:rPr>
          <w:highlight w:val="none"/>
        </w:rPr>
        <w:t>磋商程序如下：</w:t>
      </w:r>
    </w:p>
    <w:p w14:paraId="39ED8E00">
      <w:pPr>
        <w:snapToGrid w:val="0"/>
        <w:spacing w:line="400" w:lineRule="exact"/>
        <w:ind w:firstLine="420" w:firstLineChars="200"/>
        <w:rPr>
          <w:highlight w:val="none"/>
        </w:rPr>
      </w:pPr>
      <w:r>
        <w:rPr>
          <w:highlight w:val="none"/>
        </w:rPr>
        <w:t>1.宣布磋商会议开始，</w:t>
      </w:r>
      <w:r>
        <w:rPr>
          <w:rFonts w:hint="eastAsia"/>
          <w:b/>
          <w:bCs/>
          <w:highlight w:val="none"/>
        </w:rPr>
        <w:t>投标人</w:t>
      </w:r>
      <w:r>
        <w:rPr>
          <w:b/>
          <w:bCs/>
          <w:highlight w:val="none"/>
        </w:rPr>
        <w:t>的法定代表人或其授权代表必须现场持有效证件按时参加磋商。</w:t>
      </w:r>
      <w:r>
        <w:rPr>
          <w:rFonts w:hint="eastAsia"/>
          <w:highlight w:val="none"/>
        </w:rPr>
        <w:t>投标人</w:t>
      </w:r>
      <w:r>
        <w:rPr>
          <w:highlight w:val="none"/>
        </w:rPr>
        <w:t>的授权代表（或法定代表人）必须参加每次磋商。主持人宣布参加人员及有关事项。</w:t>
      </w:r>
    </w:p>
    <w:p w14:paraId="1EB76765">
      <w:pPr>
        <w:snapToGrid w:val="0"/>
        <w:spacing w:line="400" w:lineRule="exact"/>
        <w:ind w:firstLine="420" w:firstLineChars="200"/>
        <w:rPr>
          <w:highlight w:val="none"/>
        </w:rPr>
      </w:pPr>
      <w:r>
        <w:rPr>
          <w:highlight w:val="none"/>
        </w:rPr>
        <w:t>2.评审小组告知各</w:t>
      </w:r>
      <w:r>
        <w:rPr>
          <w:rFonts w:hint="eastAsia"/>
          <w:highlight w:val="none"/>
        </w:rPr>
        <w:t>投标人</w:t>
      </w:r>
      <w:r>
        <w:rPr>
          <w:highlight w:val="none"/>
        </w:rPr>
        <w:t>第一轮磋商的时间和磋商内容，各</w:t>
      </w:r>
      <w:r>
        <w:rPr>
          <w:rFonts w:hint="eastAsia"/>
          <w:highlight w:val="none"/>
        </w:rPr>
        <w:t>投标人</w:t>
      </w:r>
      <w:r>
        <w:rPr>
          <w:highlight w:val="none"/>
        </w:rPr>
        <w:t>退场等候。</w:t>
      </w:r>
    </w:p>
    <w:p w14:paraId="4A952223">
      <w:pPr>
        <w:snapToGrid w:val="0"/>
        <w:spacing w:line="400" w:lineRule="exact"/>
        <w:ind w:firstLine="420" w:firstLineChars="200"/>
        <w:rPr>
          <w:highlight w:val="none"/>
        </w:rPr>
      </w:pPr>
      <w:r>
        <w:rPr>
          <w:highlight w:val="none"/>
        </w:rPr>
        <w:t>3.评审小组初步评审响应文件，评审小组可以根据磋商文件和磋商情况实质性变动采购需求中的技术、服务要求以及合同草案条款与</w:t>
      </w:r>
      <w:r>
        <w:rPr>
          <w:rFonts w:hint="eastAsia"/>
          <w:highlight w:val="none"/>
        </w:rPr>
        <w:t>投标人</w:t>
      </w:r>
      <w:r>
        <w:rPr>
          <w:highlight w:val="none"/>
        </w:rPr>
        <w:t>进行磋商，但不得变动磋商文件中的其他内容。</w:t>
      </w:r>
    </w:p>
    <w:p w14:paraId="22D6F2E1">
      <w:pPr>
        <w:snapToGrid w:val="0"/>
        <w:spacing w:line="400" w:lineRule="exact"/>
        <w:ind w:firstLine="420" w:firstLineChars="200"/>
        <w:rPr>
          <w:highlight w:val="none"/>
        </w:rPr>
      </w:pPr>
      <w:r>
        <w:rPr>
          <w:highlight w:val="none"/>
        </w:rPr>
        <w:t>4.评审小组将根据</w:t>
      </w:r>
      <w:r>
        <w:rPr>
          <w:rFonts w:hint="eastAsia"/>
          <w:highlight w:val="none"/>
        </w:rPr>
        <w:t>投标人</w:t>
      </w:r>
      <w:r>
        <w:rPr>
          <w:highlight w:val="none"/>
        </w:rPr>
        <w:t>的响应文件、陈述含混模糊之处或需要进一步了解的细节对</w:t>
      </w:r>
      <w:r>
        <w:rPr>
          <w:rFonts w:hint="eastAsia"/>
          <w:highlight w:val="none"/>
        </w:rPr>
        <w:t>投标人</w:t>
      </w:r>
      <w:r>
        <w:rPr>
          <w:highlight w:val="none"/>
        </w:rPr>
        <w:t>提出问题，</w:t>
      </w:r>
      <w:r>
        <w:rPr>
          <w:rFonts w:hint="eastAsia"/>
          <w:highlight w:val="none"/>
        </w:rPr>
        <w:t>投标人</w:t>
      </w:r>
      <w:r>
        <w:rPr>
          <w:highlight w:val="none"/>
        </w:rPr>
        <w:t>作出回答，最后</w:t>
      </w:r>
      <w:r>
        <w:rPr>
          <w:rFonts w:hint="eastAsia"/>
          <w:highlight w:val="none"/>
        </w:rPr>
        <w:t>投标人</w:t>
      </w:r>
      <w:r>
        <w:rPr>
          <w:highlight w:val="none"/>
        </w:rPr>
        <w:t>须按所有问题提交书面的补充方案、对其磋商内容作出澄清或重新进行报价，并于规定时间递交评审小组。</w:t>
      </w:r>
    </w:p>
    <w:p w14:paraId="532A40E1">
      <w:pPr>
        <w:snapToGrid w:val="0"/>
        <w:spacing w:line="400" w:lineRule="exact"/>
        <w:ind w:firstLine="420" w:firstLineChars="200"/>
        <w:rPr>
          <w:highlight w:val="none"/>
        </w:rPr>
      </w:pPr>
      <w:r>
        <w:rPr>
          <w:highlight w:val="none"/>
        </w:rPr>
        <w:t>5.重新磋商：双方对修改后的响应文件进行磋商，直至达成磋商结果。评审小组成员经评议后，根据磋商情况，可以要求</w:t>
      </w:r>
      <w:r>
        <w:rPr>
          <w:rFonts w:hint="eastAsia"/>
          <w:highlight w:val="none"/>
        </w:rPr>
        <w:t>投标人</w:t>
      </w:r>
      <w:r>
        <w:rPr>
          <w:highlight w:val="none"/>
        </w:rPr>
        <w:t>进行多次报价。</w:t>
      </w:r>
    </w:p>
    <w:p w14:paraId="348D1C16">
      <w:pPr>
        <w:snapToGrid w:val="0"/>
        <w:spacing w:line="400" w:lineRule="exact"/>
        <w:ind w:firstLine="420" w:firstLineChars="200"/>
        <w:rPr>
          <w:highlight w:val="none"/>
        </w:rPr>
      </w:pPr>
      <w:r>
        <w:rPr>
          <w:highlight w:val="none"/>
        </w:rPr>
        <w:t>6.所有</w:t>
      </w:r>
      <w:r>
        <w:rPr>
          <w:rFonts w:hint="eastAsia"/>
          <w:highlight w:val="none"/>
        </w:rPr>
        <w:t>投标人</w:t>
      </w:r>
      <w:r>
        <w:rPr>
          <w:highlight w:val="none"/>
        </w:rPr>
        <w:t>必须将最后报价于规定时间前在磋商现场以书面方式递交至评审小组。最后报价及其他响应响应文件应以书面方式密封提交并有法定代表人或者授权代表签字确认或者加盖公章，否则视为无效。</w:t>
      </w:r>
    </w:p>
    <w:p w14:paraId="293B2E63">
      <w:pPr>
        <w:snapToGrid w:val="0"/>
        <w:spacing w:line="400" w:lineRule="exact"/>
        <w:ind w:firstLine="420" w:firstLineChars="200"/>
        <w:rPr>
          <w:highlight w:val="none"/>
        </w:rPr>
      </w:pPr>
      <w:r>
        <w:rPr>
          <w:highlight w:val="none"/>
        </w:rPr>
        <w:t>7.已提交响应文件的</w:t>
      </w:r>
      <w:r>
        <w:rPr>
          <w:rFonts w:hint="eastAsia"/>
          <w:highlight w:val="none"/>
        </w:rPr>
        <w:t>投标人</w:t>
      </w:r>
      <w:r>
        <w:rPr>
          <w:highlight w:val="none"/>
        </w:rPr>
        <w:t>，在提交最后报价之前，可以根据磋商情况退出磋商。退出磋商的须提供书面通知（</w:t>
      </w:r>
      <w:r>
        <w:rPr>
          <w:rFonts w:hint="eastAsia"/>
          <w:highlight w:val="none"/>
        </w:rPr>
        <w:t>投标人</w:t>
      </w:r>
      <w:r>
        <w:rPr>
          <w:highlight w:val="none"/>
        </w:rPr>
        <w:t>授权代表须签字确认），评审小组在表决单中注明退出磋商的</w:t>
      </w:r>
      <w:r>
        <w:rPr>
          <w:rFonts w:hint="eastAsia"/>
          <w:highlight w:val="none"/>
        </w:rPr>
        <w:t>投标人</w:t>
      </w:r>
      <w:r>
        <w:rPr>
          <w:highlight w:val="none"/>
        </w:rPr>
        <w:t>名单。</w:t>
      </w:r>
    </w:p>
    <w:p w14:paraId="565E4FED">
      <w:pPr>
        <w:snapToGrid w:val="0"/>
        <w:spacing w:line="400" w:lineRule="exact"/>
        <w:ind w:firstLine="420" w:firstLineChars="200"/>
        <w:rPr>
          <w:highlight w:val="none"/>
        </w:rPr>
      </w:pPr>
      <w:r>
        <w:rPr>
          <w:highlight w:val="none"/>
        </w:rPr>
        <w:t>8.磋商达成。磋商的结果以书面为准，经</w:t>
      </w:r>
      <w:r>
        <w:rPr>
          <w:rFonts w:hint="eastAsia"/>
          <w:highlight w:val="none"/>
        </w:rPr>
        <w:t>投标人</w:t>
      </w:r>
      <w:r>
        <w:rPr>
          <w:highlight w:val="none"/>
        </w:rPr>
        <w:t>和评审小组代表确认后，替代磋商文件或响应文件中相应的内容，并作为构成响应文件的一部分和作为评审的依据。如成交，则作为合同、履约等的组成部分。</w:t>
      </w:r>
    </w:p>
    <w:p w14:paraId="56525E31">
      <w:pPr>
        <w:pStyle w:val="4"/>
        <w:spacing w:after="0" w:line="400" w:lineRule="exact"/>
        <w:ind w:firstLine="420" w:firstLineChars="200"/>
        <w:rPr>
          <w:b/>
          <w:bCs/>
          <w:highlight w:val="none"/>
        </w:rPr>
      </w:pPr>
      <w:r>
        <w:rPr>
          <w:highlight w:val="none"/>
        </w:rPr>
        <w:t>9.评审小组认为</w:t>
      </w:r>
      <w:r>
        <w:rPr>
          <w:rFonts w:hint="eastAsia"/>
          <w:highlight w:val="none"/>
        </w:rPr>
        <w:t>投标人</w:t>
      </w:r>
      <w:r>
        <w:rPr>
          <w:highlight w:val="none"/>
        </w:rPr>
        <w:t>的报价明显低于其他通过符合性审查</w:t>
      </w:r>
      <w:r>
        <w:rPr>
          <w:rFonts w:hint="eastAsia"/>
          <w:highlight w:val="none"/>
        </w:rPr>
        <w:t>投标人</w:t>
      </w:r>
      <w:r>
        <w:rPr>
          <w:highlight w:val="none"/>
        </w:rPr>
        <w:t>的报价，有可能影响产品质量或者不能诚信履约的，应当要求其在评审现场合理的时间内提供书面说明，必要时提交相关证明材料；</w:t>
      </w:r>
      <w:r>
        <w:rPr>
          <w:rFonts w:hint="eastAsia"/>
          <w:highlight w:val="none"/>
        </w:rPr>
        <w:t>投标人</w:t>
      </w:r>
      <w:r>
        <w:rPr>
          <w:highlight w:val="none"/>
        </w:rPr>
        <w:t>不能证明其报价合理性的，评审小组应当将其作为无效投标处理。</w:t>
      </w:r>
    </w:p>
    <w:p w14:paraId="7BDD7017">
      <w:pPr>
        <w:snapToGrid w:val="0"/>
        <w:spacing w:line="400" w:lineRule="exact"/>
        <w:ind w:firstLine="422" w:firstLineChars="200"/>
        <w:rPr>
          <w:b/>
          <w:bCs/>
          <w:highlight w:val="none"/>
        </w:rPr>
      </w:pPr>
      <w:r>
        <w:rPr>
          <w:b/>
          <w:bCs/>
          <w:highlight w:val="none"/>
        </w:rPr>
        <w:t>（八）属于下列情况之一者，磋商无效：</w:t>
      </w:r>
    </w:p>
    <w:p w14:paraId="70963CA6">
      <w:pPr>
        <w:snapToGrid w:val="0"/>
        <w:spacing w:line="400" w:lineRule="exact"/>
        <w:ind w:firstLine="420" w:firstLineChars="200"/>
        <w:outlineLvl w:val="4"/>
        <w:rPr>
          <w:highlight w:val="none"/>
        </w:rPr>
      </w:pPr>
      <w:r>
        <w:rPr>
          <w:highlight w:val="none"/>
        </w:rPr>
        <w:t>1.未按照磋商文件规定要求密封、签署、盖章的，或未提供法定代表人授权委托书（委托代理时）</w:t>
      </w:r>
      <w:r>
        <w:rPr>
          <w:rFonts w:hint="eastAsia"/>
          <w:highlight w:val="none"/>
        </w:rPr>
        <w:t>。</w:t>
      </w:r>
    </w:p>
    <w:p w14:paraId="5F4DCB3F">
      <w:pPr>
        <w:snapToGrid w:val="0"/>
        <w:spacing w:line="400" w:lineRule="exact"/>
        <w:ind w:firstLine="420" w:firstLineChars="200"/>
        <w:outlineLvl w:val="4"/>
        <w:rPr>
          <w:highlight w:val="none"/>
        </w:rPr>
      </w:pPr>
      <w:r>
        <w:rPr>
          <w:highlight w:val="none"/>
        </w:rPr>
        <w:t>2.超越了按照法律法规规定必须获得行政许可</w:t>
      </w:r>
      <w:r>
        <w:rPr>
          <w:rFonts w:hint="eastAsia"/>
          <w:highlight w:val="none"/>
        </w:rPr>
        <w:t>。</w:t>
      </w:r>
    </w:p>
    <w:p w14:paraId="015B478D">
      <w:pPr>
        <w:snapToGrid w:val="0"/>
        <w:spacing w:line="400" w:lineRule="exact"/>
        <w:ind w:firstLine="420" w:firstLineChars="200"/>
        <w:outlineLvl w:val="4"/>
        <w:rPr>
          <w:highlight w:val="none"/>
        </w:rPr>
      </w:pPr>
      <w:r>
        <w:rPr>
          <w:highlight w:val="none"/>
        </w:rPr>
        <w:t>3.响应文件未按磋商文件的内容和要求编写，或提供虚假材料的</w:t>
      </w:r>
      <w:r>
        <w:rPr>
          <w:rFonts w:hint="eastAsia"/>
          <w:highlight w:val="none"/>
        </w:rPr>
        <w:t>。</w:t>
      </w:r>
    </w:p>
    <w:p w14:paraId="3281ACEF">
      <w:pPr>
        <w:snapToGrid w:val="0"/>
        <w:spacing w:line="400" w:lineRule="exact"/>
        <w:ind w:firstLine="420" w:firstLineChars="200"/>
        <w:outlineLvl w:val="4"/>
        <w:rPr>
          <w:highlight w:val="none"/>
        </w:rPr>
      </w:pPr>
      <w:r>
        <w:rPr>
          <w:highlight w:val="none"/>
        </w:rPr>
        <w:t>4.投标有效期不能满足磋商文件要求的</w:t>
      </w:r>
      <w:r>
        <w:rPr>
          <w:rFonts w:hint="eastAsia"/>
          <w:highlight w:val="none"/>
        </w:rPr>
        <w:t>。</w:t>
      </w:r>
    </w:p>
    <w:p w14:paraId="525E9E7B">
      <w:pPr>
        <w:snapToGrid w:val="0"/>
        <w:spacing w:line="400" w:lineRule="exact"/>
        <w:ind w:firstLine="420" w:firstLineChars="200"/>
        <w:outlineLvl w:val="4"/>
        <w:rPr>
          <w:highlight w:val="none"/>
        </w:rPr>
      </w:pPr>
      <w:r>
        <w:rPr>
          <w:highlight w:val="none"/>
        </w:rPr>
        <w:t>5.</w:t>
      </w:r>
      <w:r>
        <w:rPr>
          <w:rFonts w:hint="eastAsia"/>
          <w:highlight w:val="none"/>
        </w:rPr>
        <w:t>投标人</w:t>
      </w:r>
      <w:r>
        <w:rPr>
          <w:highlight w:val="none"/>
        </w:rPr>
        <w:t>未按本项目需求中公布的采购内容作完整唯一报价</w:t>
      </w:r>
      <w:r>
        <w:rPr>
          <w:rFonts w:hint="eastAsia"/>
          <w:highlight w:val="none"/>
        </w:rPr>
        <w:t>。</w:t>
      </w:r>
    </w:p>
    <w:p w14:paraId="4E19358F">
      <w:pPr>
        <w:snapToGrid w:val="0"/>
        <w:spacing w:line="400" w:lineRule="exact"/>
        <w:ind w:firstLine="420" w:firstLineChars="200"/>
        <w:outlineLvl w:val="4"/>
        <w:rPr>
          <w:highlight w:val="none"/>
        </w:rPr>
      </w:pPr>
      <w:r>
        <w:rPr>
          <w:highlight w:val="none"/>
        </w:rPr>
        <w:t>6.不满足本项目需求中的实质性要求，或经评审委员会一致认定有明显不符合响应文件规定的技术规格、技术标准要求的实质性要求</w:t>
      </w:r>
      <w:r>
        <w:rPr>
          <w:rFonts w:hint="eastAsia"/>
          <w:highlight w:val="none"/>
        </w:rPr>
        <w:t>。</w:t>
      </w:r>
    </w:p>
    <w:p w14:paraId="21855D4D">
      <w:pPr>
        <w:snapToGrid w:val="0"/>
        <w:spacing w:line="400" w:lineRule="exact"/>
        <w:ind w:firstLine="420" w:firstLineChars="200"/>
        <w:outlineLvl w:val="4"/>
        <w:rPr>
          <w:highlight w:val="none"/>
        </w:rPr>
      </w:pPr>
      <w:r>
        <w:rPr>
          <w:highlight w:val="none"/>
        </w:rPr>
        <w:t>7.</w:t>
      </w:r>
      <w:r>
        <w:rPr>
          <w:rFonts w:hint="eastAsia"/>
          <w:highlight w:val="none"/>
        </w:rPr>
        <w:t>投标人</w:t>
      </w:r>
      <w:r>
        <w:rPr>
          <w:highlight w:val="none"/>
        </w:rPr>
        <w:t>未按要求提供</w:t>
      </w:r>
      <w:r>
        <w:rPr>
          <w:rFonts w:hint="eastAsia"/>
          <w:highlight w:val="none"/>
        </w:rPr>
        <w:t>“</w:t>
      </w:r>
      <w:r>
        <w:rPr>
          <w:highlight w:val="none"/>
        </w:rPr>
        <w:t>原件备查</w:t>
      </w:r>
      <w:r>
        <w:rPr>
          <w:rFonts w:hint="eastAsia"/>
          <w:highlight w:val="none"/>
        </w:rPr>
        <w:t>”</w:t>
      </w:r>
      <w:r>
        <w:rPr>
          <w:highlight w:val="none"/>
        </w:rPr>
        <w:t>材料原件的，或所提供材料原件与其在响应文件中提供的材料复印件不一致的</w:t>
      </w:r>
      <w:r>
        <w:rPr>
          <w:rFonts w:hint="eastAsia"/>
          <w:highlight w:val="none"/>
        </w:rPr>
        <w:t>。</w:t>
      </w:r>
    </w:p>
    <w:p w14:paraId="7F499A94">
      <w:pPr>
        <w:spacing w:line="400" w:lineRule="exact"/>
        <w:ind w:firstLine="420" w:firstLineChars="200"/>
        <w:rPr>
          <w:highlight w:val="none"/>
        </w:rPr>
      </w:pPr>
      <w:r>
        <w:rPr>
          <w:highlight w:val="none"/>
        </w:rPr>
        <w:t>8.未实质性响应磋商文件要求或者磋商文件有采购人不能接受的附加条件的</w:t>
      </w:r>
      <w:r>
        <w:rPr>
          <w:rFonts w:hint="eastAsia"/>
          <w:highlight w:val="none"/>
        </w:rPr>
        <w:t>。</w:t>
      </w:r>
    </w:p>
    <w:p w14:paraId="3E8E25AF">
      <w:pPr>
        <w:spacing w:line="400" w:lineRule="exact"/>
        <w:ind w:firstLine="420" w:firstLineChars="200"/>
        <w:rPr>
          <w:highlight w:val="none"/>
        </w:rPr>
      </w:pPr>
      <w:r>
        <w:rPr>
          <w:highlight w:val="none"/>
        </w:rPr>
        <w:t>9.不符合法律、法规或磋商文件规定的其他实质性要求和条件的。</w:t>
      </w:r>
    </w:p>
    <w:p w14:paraId="5F3ECE3A">
      <w:pPr>
        <w:spacing w:line="400" w:lineRule="exact"/>
        <w:ind w:firstLine="420" w:firstLineChars="200"/>
        <w:rPr>
          <w:highlight w:val="none"/>
        </w:rPr>
      </w:pPr>
      <w:r>
        <w:rPr>
          <w:highlight w:val="none"/>
        </w:rPr>
        <w:t>10.响应文件内容印刷字迹模糊、复印证件内容不清晰的。</w:t>
      </w:r>
    </w:p>
    <w:p w14:paraId="3925EA62">
      <w:pPr>
        <w:spacing w:line="400" w:lineRule="exact"/>
        <w:ind w:firstLine="420" w:firstLineChars="200"/>
        <w:rPr>
          <w:highlight w:val="none"/>
        </w:rPr>
      </w:pPr>
      <w:r>
        <w:rPr>
          <w:highlight w:val="none"/>
        </w:rPr>
        <w:t>11.文件中注明“必须提供”的文件未加盖</w:t>
      </w:r>
      <w:r>
        <w:rPr>
          <w:rFonts w:hint="eastAsia"/>
          <w:highlight w:val="none"/>
        </w:rPr>
        <w:t>投标人</w:t>
      </w:r>
      <w:r>
        <w:rPr>
          <w:highlight w:val="none"/>
        </w:rPr>
        <w:t>公章（扫描公章无效）的。</w:t>
      </w:r>
    </w:p>
    <w:p w14:paraId="42D5B986">
      <w:pPr>
        <w:pStyle w:val="4"/>
        <w:spacing w:after="0" w:line="400" w:lineRule="exact"/>
        <w:ind w:firstLine="420" w:firstLineChars="200"/>
        <w:rPr>
          <w:highlight w:val="none"/>
        </w:rPr>
      </w:pPr>
      <w:r>
        <w:rPr>
          <w:rFonts w:hint="eastAsia"/>
          <w:highlight w:val="none"/>
        </w:rPr>
        <w:t>12.报价超过采购预算的。</w:t>
      </w:r>
    </w:p>
    <w:p w14:paraId="14A3F65C">
      <w:pPr>
        <w:snapToGrid w:val="0"/>
        <w:spacing w:line="400" w:lineRule="exact"/>
        <w:ind w:firstLine="422" w:firstLineChars="200"/>
        <w:outlineLvl w:val="4"/>
        <w:rPr>
          <w:b/>
          <w:bCs/>
          <w:highlight w:val="none"/>
        </w:rPr>
      </w:pPr>
      <w:r>
        <w:rPr>
          <w:b/>
          <w:bCs/>
          <w:highlight w:val="none"/>
        </w:rPr>
        <w:t>（九）属于下列情形之一的，应予废标：</w:t>
      </w:r>
    </w:p>
    <w:p w14:paraId="27C58557">
      <w:pPr>
        <w:tabs>
          <w:tab w:val="left" w:pos="840"/>
        </w:tabs>
        <w:snapToGrid w:val="0"/>
        <w:spacing w:line="400" w:lineRule="exact"/>
        <w:ind w:firstLine="420" w:firstLineChars="200"/>
        <w:outlineLvl w:val="4"/>
        <w:rPr>
          <w:highlight w:val="none"/>
        </w:rPr>
      </w:pPr>
      <w:r>
        <w:rPr>
          <w:highlight w:val="none"/>
        </w:rPr>
        <w:t>1.出现影响采购公正的违法、违规行为的</w:t>
      </w:r>
      <w:r>
        <w:rPr>
          <w:rFonts w:hint="eastAsia"/>
          <w:highlight w:val="none"/>
        </w:rPr>
        <w:t>。</w:t>
      </w:r>
    </w:p>
    <w:p w14:paraId="15683FE8">
      <w:pPr>
        <w:tabs>
          <w:tab w:val="left" w:pos="840"/>
        </w:tabs>
        <w:snapToGrid w:val="0"/>
        <w:spacing w:line="400" w:lineRule="exact"/>
        <w:ind w:firstLine="420" w:firstLineChars="200"/>
        <w:outlineLvl w:val="4"/>
        <w:rPr>
          <w:highlight w:val="none"/>
        </w:rPr>
      </w:pPr>
      <w:r>
        <w:rPr>
          <w:highlight w:val="none"/>
        </w:rPr>
        <w:t>2.因重大变故，采购任务取消的。</w:t>
      </w:r>
    </w:p>
    <w:p w14:paraId="6F14E71A">
      <w:pPr>
        <w:spacing w:line="400" w:lineRule="exact"/>
        <w:ind w:firstLine="422" w:firstLineChars="200"/>
        <w:rPr>
          <w:b/>
          <w:bCs/>
          <w:highlight w:val="none"/>
        </w:rPr>
      </w:pPr>
      <w:r>
        <w:rPr>
          <w:b/>
          <w:bCs/>
          <w:highlight w:val="none"/>
        </w:rPr>
        <w:t>（十）评审过程的监控</w:t>
      </w:r>
    </w:p>
    <w:p w14:paraId="2AF2C163">
      <w:pPr>
        <w:tabs>
          <w:tab w:val="left" w:pos="840"/>
        </w:tabs>
        <w:snapToGrid w:val="0"/>
        <w:spacing w:line="400" w:lineRule="exact"/>
        <w:ind w:firstLine="420" w:firstLineChars="200"/>
        <w:outlineLvl w:val="4"/>
        <w:rPr>
          <w:highlight w:val="none"/>
        </w:rPr>
      </w:pPr>
      <w:r>
        <w:rPr>
          <w:highlight w:val="none"/>
        </w:rPr>
        <w:t>本项目评审过程实行监察，</w:t>
      </w:r>
      <w:r>
        <w:rPr>
          <w:rFonts w:hint="eastAsia"/>
          <w:highlight w:val="none"/>
        </w:rPr>
        <w:t>投标人</w:t>
      </w:r>
      <w:r>
        <w:rPr>
          <w:highlight w:val="none"/>
        </w:rPr>
        <w:t>在评审过程中所进行的试图影响评审结果的不公正活动，可能导致其磋商被拒绝。</w:t>
      </w:r>
    </w:p>
    <w:p w14:paraId="11F60925">
      <w:pPr>
        <w:pStyle w:val="4"/>
        <w:rPr>
          <w:highlight w:val="none"/>
        </w:rPr>
      </w:pPr>
    </w:p>
    <w:p w14:paraId="613EFED8">
      <w:pPr>
        <w:pStyle w:val="132"/>
        <w:rPr>
          <w:highlight w:val="none"/>
        </w:rPr>
        <w:sectPr>
          <w:pgSz w:w="11905" w:h="16838"/>
          <w:pgMar w:top="1417" w:right="1361" w:bottom="1417" w:left="1361" w:header="850" w:footer="992" w:gutter="0"/>
          <w:cols w:space="0" w:num="1"/>
          <w:rtlGutter w:val="0"/>
          <w:docGrid w:type="lines" w:linePitch="312" w:charSpace="0"/>
        </w:sectPr>
      </w:pPr>
    </w:p>
    <w:p w14:paraId="3587AA06">
      <w:pPr>
        <w:pStyle w:val="188"/>
        <w:rPr>
          <w:color w:val="auto"/>
          <w:highlight w:val="none"/>
        </w:rPr>
      </w:pPr>
      <w:r>
        <w:rPr>
          <w:color w:val="auto"/>
          <w:highlight w:val="none"/>
        </w:rPr>
        <w:t>二、评分标准</w:t>
      </w:r>
    </w:p>
    <w:p w14:paraId="4C82362B">
      <w:pPr>
        <w:pStyle w:val="28"/>
        <w:spacing w:line="400" w:lineRule="exact"/>
        <w:ind w:firstLine="422" w:firstLineChars="200"/>
        <w:jc w:val="left"/>
        <w:rPr>
          <w:rFonts w:ascii="Times New Roman" w:hAnsi="Times New Roman" w:eastAsia="宋体" w:cs="Times New Roman"/>
          <w:highlight w:val="none"/>
        </w:rPr>
      </w:pPr>
      <w:r>
        <w:rPr>
          <w:rFonts w:ascii="Times New Roman" w:hAnsi="Times New Roman" w:eastAsia="宋体" w:cs="Times New Roman"/>
          <w:b/>
          <w:bCs/>
          <w:highlight w:val="none"/>
        </w:rPr>
        <w:t>（一）评分依据：</w:t>
      </w:r>
      <w:r>
        <w:rPr>
          <w:rFonts w:ascii="Times New Roman" w:hAnsi="Times New Roman" w:eastAsia="宋体" w:cs="Times New Roman"/>
          <w:highlight w:val="none"/>
        </w:rPr>
        <w:t>评审小组以磋商文件和响应文件为依据，对</w:t>
      </w:r>
      <w:r>
        <w:rPr>
          <w:rFonts w:hint="eastAsia" w:ascii="Times New Roman" w:hAnsi="Times New Roman" w:eastAsia="宋体" w:cs="Times New Roman"/>
          <w:highlight w:val="none"/>
        </w:rPr>
        <w:t>投标人</w:t>
      </w:r>
      <w:r>
        <w:rPr>
          <w:rFonts w:ascii="Times New Roman" w:hAnsi="Times New Roman" w:eastAsia="宋体" w:cs="Times New Roman"/>
          <w:highlight w:val="none"/>
        </w:rPr>
        <w:t>的业绩、方案、报价等内容按百分制打分。</w:t>
      </w:r>
    </w:p>
    <w:p w14:paraId="054D715D">
      <w:pPr>
        <w:pStyle w:val="28"/>
        <w:spacing w:line="400" w:lineRule="exact"/>
        <w:ind w:firstLine="422" w:firstLineChars="200"/>
        <w:jc w:val="left"/>
        <w:rPr>
          <w:rFonts w:ascii="Times New Roman" w:hAnsi="Times New Roman" w:eastAsia="宋体" w:cs="Times New Roman"/>
          <w:highlight w:val="none"/>
        </w:rPr>
      </w:pPr>
      <w:r>
        <w:rPr>
          <w:rFonts w:ascii="Times New Roman" w:hAnsi="Times New Roman" w:eastAsia="宋体" w:cs="Times New Roman"/>
          <w:b/>
          <w:bCs/>
          <w:highlight w:val="none"/>
        </w:rPr>
        <w:t>（二）评审方法：</w:t>
      </w:r>
      <w:r>
        <w:rPr>
          <w:rFonts w:ascii="Times New Roman" w:hAnsi="Times New Roman" w:eastAsia="宋体" w:cs="Times New Roman"/>
          <w:highlight w:val="none"/>
        </w:rPr>
        <w:t>采用百分制综合评分法，</w:t>
      </w:r>
      <w:r>
        <w:rPr>
          <w:rFonts w:ascii="Times New Roman" w:hAnsi="Times New Roman" w:eastAsia="宋体" w:cs="Times New Roman"/>
          <w:highlight w:val="none"/>
          <w:lang w:eastAsia="ar-SA"/>
        </w:rPr>
        <w:t>评分分值计算保留小数点后两位，第三位四舍五入</w:t>
      </w:r>
      <w:r>
        <w:rPr>
          <w:rFonts w:ascii="Times New Roman" w:hAnsi="Times New Roman" w:eastAsia="宋体" w:cs="Times New Roman"/>
          <w:highlight w:val="none"/>
        </w:rPr>
        <w:t>。</w:t>
      </w:r>
    </w:p>
    <w:p w14:paraId="600CC25A">
      <w:pPr>
        <w:snapToGrid w:val="0"/>
        <w:spacing w:line="400" w:lineRule="exact"/>
        <w:ind w:firstLine="422" w:firstLineChars="200"/>
        <w:outlineLvl w:val="4"/>
        <w:rPr>
          <w:b/>
          <w:bCs/>
          <w:highlight w:val="none"/>
        </w:rPr>
      </w:pPr>
      <w:r>
        <w:rPr>
          <w:b/>
          <w:bCs/>
          <w:highlight w:val="none"/>
        </w:rPr>
        <w:t>（三）商务和技术评审</w:t>
      </w:r>
    </w:p>
    <w:p w14:paraId="40FBC6BB">
      <w:pPr>
        <w:snapToGrid w:val="0"/>
        <w:spacing w:line="400" w:lineRule="exact"/>
        <w:ind w:firstLine="420" w:firstLineChars="200"/>
        <w:rPr>
          <w:highlight w:val="none"/>
        </w:rPr>
      </w:pPr>
      <w:r>
        <w:rPr>
          <w:highlight w:val="none"/>
        </w:rPr>
        <w:t>评审小组按磋商文件中规定的评审方法和标准，对合格的响应文件进行商务和技术评审。</w:t>
      </w:r>
      <w:r>
        <w:rPr>
          <w:rStyle w:val="119"/>
          <w:highlight w:val="none"/>
        </w:rPr>
        <w:t>具体评审标准见《</w:t>
      </w:r>
      <w:r>
        <w:rPr>
          <w:bCs/>
          <w:kern w:val="0"/>
          <w:highlight w:val="none"/>
        </w:rPr>
        <w:t>评分表</w:t>
      </w:r>
      <w:r>
        <w:rPr>
          <w:rStyle w:val="119"/>
          <w:highlight w:val="none"/>
        </w:rPr>
        <w:t>》。</w:t>
      </w:r>
    </w:p>
    <w:p w14:paraId="6529CD2A">
      <w:pPr>
        <w:snapToGrid w:val="0"/>
        <w:spacing w:line="400" w:lineRule="exact"/>
        <w:ind w:firstLine="420" w:firstLineChars="200"/>
        <w:rPr>
          <w:highlight w:val="none"/>
        </w:rPr>
      </w:pPr>
      <w:r>
        <w:rPr>
          <w:highlight w:val="none"/>
        </w:rPr>
        <w:t>评审小组各成员对每个有效</w:t>
      </w:r>
      <w:r>
        <w:rPr>
          <w:rFonts w:hint="eastAsia"/>
          <w:highlight w:val="none"/>
        </w:rPr>
        <w:t>投标人</w:t>
      </w:r>
      <w:r>
        <w:rPr>
          <w:highlight w:val="none"/>
        </w:rPr>
        <w:t>的响应文件进行评价、打分，然后由评审组长组织评审小组对各成员打分情况进行核查及复核，评分有误的，应及时进行修正。评审标准如有主客观分定义，评审小组所有成员的客观分打分分数应当一致。</w:t>
      </w:r>
    </w:p>
    <w:p w14:paraId="6AFA5377">
      <w:pPr>
        <w:spacing w:line="400" w:lineRule="exact"/>
        <w:ind w:firstLine="422" w:firstLineChars="200"/>
        <w:rPr>
          <w:b/>
          <w:bCs/>
          <w:highlight w:val="none"/>
        </w:rPr>
      </w:pPr>
      <w:r>
        <w:rPr>
          <w:b/>
          <w:bCs/>
          <w:highlight w:val="none"/>
        </w:rPr>
        <w:t>（四）中标候选人推荐原则</w:t>
      </w:r>
    </w:p>
    <w:p w14:paraId="59C7FFF5">
      <w:pPr>
        <w:snapToGrid w:val="0"/>
        <w:spacing w:line="400" w:lineRule="exact"/>
        <w:ind w:firstLine="420" w:firstLineChars="200"/>
        <w:rPr>
          <w:highlight w:val="none"/>
        </w:rPr>
      </w:pPr>
      <w:r>
        <w:rPr>
          <w:highlight w:val="none"/>
        </w:rPr>
        <w:t>1.评审小组将根据得分由高到低排列次序（得分相同时，以投标报价由低到高顺序排列；得分相同且投标报价相同的，按技术实施方案优劣顺序排列）并推荐中标候选</w:t>
      </w:r>
      <w:r>
        <w:rPr>
          <w:rFonts w:hint="eastAsia"/>
          <w:highlight w:val="none"/>
        </w:rPr>
        <w:t>人</w:t>
      </w:r>
      <w:r>
        <w:rPr>
          <w:highlight w:val="none"/>
        </w:rPr>
        <w:t>。采购人应当确定评审小组推荐排名</w:t>
      </w:r>
      <w:r>
        <w:rPr>
          <w:rFonts w:hint="eastAsia"/>
          <w:b/>
          <w:bCs/>
          <w:sz w:val="28"/>
          <w:szCs w:val="28"/>
          <w:highlight w:val="none"/>
        </w:rPr>
        <w:t>第1</w:t>
      </w:r>
      <w:r>
        <w:rPr>
          <w:highlight w:val="none"/>
        </w:rPr>
        <w:t>的中标候选人为中标人。</w:t>
      </w:r>
    </w:p>
    <w:p w14:paraId="56859B26">
      <w:pPr>
        <w:pStyle w:val="28"/>
        <w:tabs>
          <w:tab w:val="left" w:pos="2520"/>
        </w:tabs>
        <w:autoSpaceDE w:val="0"/>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2.评审小组成员对需要共同认定的事项存在争议的，应当按照少数服从多数的原则作出结论。持不同意见的评审小组成员应当在表决单上签署不同意见及理由，否则视为同意。</w:t>
      </w:r>
    </w:p>
    <w:p w14:paraId="2A28757A">
      <w:pPr>
        <w:pStyle w:val="18"/>
        <w:ind w:left="0" w:firstLine="422" w:firstLineChars="200"/>
        <w:rPr>
          <w:b/>
          <w:bCs/>
          <w:highlight w:val="none"/>
        </w:rPr>
      </w:pPr>
      <w:bookmarkStart w:id="183" w:name="_Toc15851"/>
      <w:bookmarkStart w:id="184" w:name="_Toc551"/>
      <w:bookmarkStart w:id="185" w:name="_Toc13731"/>
      <w:bookmarkStart w:id="186" w:name="_Toc10446"/>
      <w:bookmarkStart w:id="187" w:name="_Toc21967"/>
      <w:bookmarkStart w:id="188" w:name="_Toc5847"/>
      <w:bookmarkStart w:id="189" w:name="_Toc5493"/>
      <w:bookmarkStart w:id="190" w:name="_Toc30393"/>
      <w:bookmarkStart w:id="191" w:name="_Toc29345"/>
      <w:bookmarkStart w:id="192" w:name="_Toc20797"/>
      <w:bookmarkStart w:id="193" w:name="_Toc8185"/>
      <w:bookmarkStart w:id="194" w:name="_Toc21245"/>
      <w:bookmarkStart w:id="195" w:name="_Toc32230"/>
      <w:bookmarkStart w:id="196" w:name="_Toc4273"/>
      <w:r>
        <w:rPr>
          <w:b/>
          <w:bCs/>
          <w:highlight w:val="none"/>
        </w:rPr>
        <w:t>（五）评分方法</w:t>
      </w:r>
    </w:p>
    <w:tbl>
      <w:tblPr>
        <w:tblStyle w:val="42"/>
        <w:tblW w:w="9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45"/>
        <w:gridCol w:w="887"/>
        <w:gridCol w:w="948"/>
        <w:gridCol w:w="7276"/>
      </w:tblGrid>
      <w:tr w14:paraId="755D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2380" w:type="dxa"/>
            <w:gridSpan w:val="3"/>
            <w:tcBorders>
              <w:top w:val="single" w:color="auto" w:sz="4" w:space="0"/>
              <w:left w:val="single" w:color="auto" w:sz="4" w:space="0"/>
              <w:bottom w:val="single" w:color="auto" w:sz="4" w:space="0"/>
              <w:right w:val="single" w:color="auto" w:sz="4" w:space="0"/>
            </w:tcBorders>
            <w:vAlign w:val="center"/>
          </w:tcPr>
          <w:p w14:paraId="17D28A97">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bookmarkStart w:id="197" w:name="_Toc9725"/>
            <w:bookmarkStart w:id="198" w:name="_Toc2238"/>
            <w:bookmarkStart w:id="199" w:name="_Toc3450"/>
            <w:bookmarkStart w:id="200" w:name="_Toc21070"/>
            <w:bookmarkStart w:id="201" w:name="_Toc6971"/>
            <w:bookmarkStart w:id="202" w:name="_Toc13232"/>
            <w:bookmarkStart w:id="203" w:name="_Toc4260"/>
            <w:bookmarkStart w:id="204" w:name="_Toc4141"/>
            <w:bookmarkStart w:id="205" w:name="_Toc10870"/>
            <w:r>
              <w:rPr>
                <w:rFonts w:hint="eastAsia" w:asciiTheme="minorEastAsia" w:hAnsiTheme="minorEastAsia" w:eastAsiaTheme="minorEastAsia" w:cstheme="minorEastAsia"/>
                <w:b/>
                <w:bCs/>
                <w:sz w:val="21"/>
                <w:szCs w:val="21"/>
                <w:highlight w:val="none"/>
              </w:rPr>
              <w:t>评审因素</w:t>
            </w:r>
          </w:p>
        </w:tc>
        <w:tc>
          <w:tcPr>
            <w:tcW w:w="7276" w:type="dxa"/>
            <w:tcBorders>
              <w:top w:val="single" w:color="auto" w:sz="4" w:space="0"/>
              <w:left w:val="single" w:color="auto" w:sz="4" w:space="0"/>
              <w:bottom w:val="single" w:color="auto" w:sz="4" w:space="0"/>
              <w:right w:val="single" w:color="auto" w:sz="4" w:space="0"/>
            </w:tcBorders>
            <w:vAlign w:val="center"/>
          </w:tcPr>
          <w:p w14:paraId="41BD33D2">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评审标准</w:t>
            </w:r>
          </w:p>
        </w:tc>
      </w:tr>
      <w:tr w14:paraId="429D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45" w:type="dxa"/>
            <w:vMerge w:val="restart"/>
            <w:tcBorders>
              <w:top w:val="single" w:color="auto" w:sz="4" w:space="0"/>
              <w:left w:val="single" w:color="auto" w:sz="4" w:space="0"/>
              <w:right w:val="single" w:color="auto" w:sz="4" w:space="0"/>
            </w:tcBorders>
            <w:vAlign w:val="center"/>
          </w:tcPr>
          <w:p w14:paraId="2D3813FA">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1</w:t>
            </w:r>
          </w:p>
        </w:tc>
        <w:tc>
          <w:tcPr>
            <w:tcW w:w="887" w:type="dxa"/>
            <w:vMerge w:val="restart"/>
            <w:tcBorders>
              <w:top w:val="single" w:color="auto" w:sz="4" w:space="0"/>
              <w:left w:val="single" w:color="auto" w:sz="4" w:space="0"/>
              <w:right w:val="single" w:color="auto" w:sz="4" w:space="0"/>
            </w:tcBorders>
            <w:vAlign w:val="center"/>
          </w:tcPr>
          <w:p w14:paraId="11A247B4">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商务</w:t>
            </w:r>
          </w:p>
          <w:p w14:paraId="2325F28C">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16</w:t>
            </w:r>
            <w:r>
              <w:rPr>
                <w:rFonts w:hint="eastAsia" w:asciiTheme="minorEastAsia" w:hAnsiTheme="minorEastAsia" w:eastAsiaTheme="minorEastAsia" w:cstheme="minorEastAsia"/>
                <w:bCs/>
                <w:sz w:val="21"/>
                <w:szCs w:val="21"/>
                <w:highlight w:val="none"/>
              </w:rPr>
              <w:t>分）</w:t>
            </w:r>
          </w:p>
        </w:tc>
        <w:tc>
          <w:tcPr>
            <w:tcW w:w="948" w:type="dxa"/>
            <w:tcBorders>
              <w:top w:val="single" w:color="auto" w:sz="4" w:space="0"/>
              <w:left w:val="single" w:color="auto" w:sz="4" w:space="0"/>
              <w:bottom w:val="single" w:color="auto" w:sz="4" w:space="0"/>
              <w:right w:val="single" w:color="auto" w:sz="4" w:space="0"/>
            </w:tcBorders>
            <w:vAlign w:val="center"/>
          </w:tcPr>
          <w:p w14:paraId="434D3000">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业绩</w:t>
            </w:r>
          </w:p>
          <w:p w14:paraId="41FF704A">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10</w:t>
            </w:r>
            <w:r>
              <w:rPr>
                <w:rFonts w:hint="eastAsia" w:asciiTheme="minorEastAsia" w:hAnsiTheme="minorEastAsia" w:eastAsiaTheme="minorEastAsia" w:cstheme="minorEastAsia"/>
                <w:bCs/>
                <w:sz w:val="21"/>
                <w:szCs w:val="21"/>
                <w:highlight w:val="none"/>
              </w:rPr>
              <w:t>分）</w:t>
            </w:r>
          </w:p>
        </w:tc>
        <w:tc>
          <w:tcPr>
            <w:tcW w:w="7276" w:type="dxa"/>
            <w:tcBorders>
              <w:top w:val="single" w:color="auto" w:sz="4" w:space="0"/>
              <w:left w:val="single" w:color="auto" w:sz="4" w:space="0"/>
              <w:bottom w:val="single" w:color="auto" w:sz="4" w:space="0"/>
              <w:right w:val="single" w:color="auto" w:sz="4" w:space="0"/>
            </w:tcBorders>
            <w:vAlign w:val="center"/>
          </w:tcPr>
          <w:p w14:paraId="38380B23">
            <w:pPr>
              <w:pStyle w:val="28"/>
              <w:keepNext w:val="0"/>
              <w:keepLines w:val="0"/>
              <w:pageBreakBefore w:val="0"/>
              <w:kinsoku/>
              <w:wordWrap/>
              <w:overflowPunct/>
              <w:topLinePunct w:val="0"/>
              <w:autoSpaceDE/>
              <w:autoSpaceDN/>
              <w:bidi w:val="0"/>
              <w:adjustRightInd/>
              <w:snapToGrid/>
              <w:spacing w:line="380" w:lineRule="exact"/>
              <w:jc w:val="both"/>
              <w:textAlignment w:val="auto"/>
              <w:rPr>
                <w:rFonts w:hint="default"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投标人自2020年1月1日以来完成过的</w:t>
            </w:r>
            <w:r>
              <w:rPr>
                <w:rFonts w:hint="eastAsia" w:hAnsi="宋体" w:eastAsia="宋体" w:cs="宋体"/>
                <w:bCs/>
                <w:sz w:val="21"/>
                <w:szCs w:val="21"/>
                <w:highlight w:val="none"/>
                <w:lang w:val="en-US" w:eastAsia="zh-CN"/>
              </w:rPr>
              <w:t>“</w:t>
            </w:r>
            <w:r>
              <w:rPr>
                <w:rFonts w:hint="eastAsia" w:ascii="宋体" w:hAnsi="宋体" w:eastAsia="宋体" w:cs="宋体"/>
                <w:bCs/>
                <w:sz w:val="21"/>
                <w:szCs w:val="21"/>
                <w:highlight w:val="none"/>
                <w:lang w:val="en-US" w:eastAsia="zh-CN"/>
              </w:rPr>
              <w:t>大模型</w:t>
            </w:r>
            <w:r>
              <w:rPr>
                <w:rFonts w:hint="eastAsia" w:hAnsi="宋体" w:eastAsia="宋体" w:cs="宋体"/>
                <w:bCs/>
                <w:sz w:val="21"/>
                <w:szCs w:val="21"/>
                <w:highlight w:val="none"/>
                <w:lang w:val="en-US" w:eastAsia="zh-CN"/>
              </w:rPr>
              <w:t>”或“</w:t>
            </w:r>
            <w:r>
              <w:rPr>
                <w:rFonts w:hint="eastAsia" w:ascii="宋体" w:hAnsi="宋体" w:eastAsia="宋体" w:cs="宋体"/>
                <w:bCs/>
                <w:sz w:val="21"/>
                <w:szCs w:val="21"/>
                <w:highlight w:val="none"/>
                <w:lang w:val="en-US" w:eastAsia="zh-CN"/>
              </w:rPr>
              <w:t>智能体</w:t>
            </w:r>
            <w:r>
              <w:rPr>
                <w:rFonts w:hint="eastAsia" w:hAnsi="宋体" w:eastAsia="宋体" w:cs="宋体"/>
                <w:bCs/>
                <w:sz w:val="21"/>
                <w:szCs w:val="21"/>
                <w:highlight w:val="none"/>
                <w:lang w:val="en-US" w:eastAsia="zh-CN"/>
              </w:rPr>
              <w:t>”</w:t>
            </w:r>
            <w:r>
              <w:rPr>
                <w:rFonts w:hint="eastAsia" w:ascii="宋体" w:hAnsi="宋体" w:eastAsia="宋体" w:cs="宋体"/>
                <w:bCs/>
                <w:sz w:val="21"/>
                <w:szCs w:val="21"/>
                <w:highlight w:val="none"/>
                <w:lang w:val="en-US" w:eastAsia="zh-CN"/>
              </w:rPr>
              <w:t>或</w:t>
            </w:r>
            <w:r>
              <w:rPr>
                <w:rFonts w:hint="eastAsia" w:hAnsi="宋体" w:eastAsia="宋体" w:cs="宋体"/>
                <w:bCs/>
                <w:sz w:val="21"/>
                <w:szCs w:val="21"/>
                <w:highlight w:val="none"/>
                <w:lang w:val="en-US" w:eastAsia="zh-CN"/>
              </w:rPr>
              <w:t>“</w:t>
            </w:r>
            <w:r>
              <w:rPr>
                <w:rFonts w:hint="eastAsia" w:ascii="宋体" w:hAnsi="宋体" w:eastAsia="宋体" w:cs="宋体"/>
                <w:bCs/>
                <w:sz w:val="21"/>
                <w:szCs w:val="21"/>
                <w:highlight w:val="none"/>
                <w:lang w:val="en-US" w:eastAsia="zh-CN"/>
              </w:rPr>
              <w:t>AI</w:t>
            </w:r>
            <w:r>
              <w:rPr>
                <w:rFonts w:hint="eastAsia" w:hAnsi="宋体" w:eastAsia="宋体" w:cs="宋体"/>
                <w:bCs/>
                <w:sz w:val="21"/>
                <w:szCs w:val="21"/>
                <w:highlight w:val="none"/>
                <w:lang w:val="en-US" w:eastAsia="zh-CN"/>
              </w:rPr>
              <w:t>”</w:t>
            </w:r>
            <w:r>
              <w:rPr>
                <w:rFonts w:hint="eastAsia" w:ascii="宋体" w:hAnsi="宋体" w:eastAsia="宋体" w:cs="宋体"/>
                <w:bCs/>
                <w:sz w:val="21"/>
                <w:szCs w:val="21"/>
                <w:highlight w:val="none"/>
                <w:lang w:val="en-US" w:eastAsia="zh-CN"/>
              </w:rPr>
              <w:t>项目业绩，每提供一份符合条件的合同得1分，满分</w:t>
            </w:r>
            <w:r>
              <w:rPr>
                <w:rFonts w:hint="eastAsia" w:hAnsi="宋体" w:eastAsia="宋体" w:cs="宋体"/>
                <w:bCs/>
                <w:sz w:val="21"/>
                <w:szCs w:val="21"/>
                <w:highlight w:val="none"/>
                <w:lang w:val="en-US" w:eastAsia="zh-CN"/>
              </w:rPr>
              <w:t>10</w:t>
            </w:r>
            <w:r>
              <w:rPr>
                <w:rFonts w:hint="eastAsia" w:ascii="宋体" w:hAnsi="宋体" w:eastAsia="宋体" w:cs="宋体"/>
                <w:bCs/>
                <w:sz w:val="21"/>
                <w:szCs w:val="21"/>
                <w:highlight w:val="none"/>
                <w:lang w:val="en-US" w:eastAsia="zh-CN"/>
              </w:rPr>
              <w:t>分。</w:t>
            </w:r>
          </w:p>
          <w:p w14:paraId="7FEED41A">
            <w:pPr>
              <w:keepNext w:val="0"/>
              <w:keepLines w:val="0"/>
              <w:pageBreakBefore w:val="0"/>
              <w:widowControl w:val="0"/>
              <w:kinsoku w:val="0"/>
              <w:wordWrap/>
              <w:overflowPunct w:val="0"/>
              <w:topLinePunct w:val="0"/>
              <w:autoSpaceDE/>
              <w:autoSpaceDN/>
              <w:bidi w:val="0"/>
              <w:adjustRightInd/>
              <w:snapToGrid/>
              <w:spacing w:line="400" w:lineRule="exact"/>
              <w:textAlignment w:val="auto"/>
              <w:rPr>
                <w:rFonts w:hint="eastAsia" w:asciiTheme="minorEastAsia" w:hAnsiTheme="minorEastAsia" w:eastAsiaTheme="minorEastAsia" w:cstheme="minorEastAsia"/>
                <w:bCs/>
                <w:sz w:val="21"/>
                <w:szCs w:val="21"/>
                <w:highlight w:val="none"/>
              </w:rPr>
            </w:pPr>
            <w:r>
              <w:rPr>
                <w:rFonts w:hint="eastAsia" w:ascii="宋体" w:hAnsi="宋体" w:eastAsia="宋体" w:cs="宋体"/>
                <w:bCs/>
                <w:sz w:val="21"/>
                <w:szCs w:val="21"/>
                <w:highlight w:val="none"/>
                <w:lang w:val="en-US" w:eastAsia="zh-CN"/>
              </w:rPr>
              <w:t>合同以签订时间为准，能清晰反映项目名称、合同执行时间及合同双方盖章等内容，如有缺漏，视为无效业绩。提供合同复印件并加盖</w:t>
            </w:r>
            <w:r>
              <w:rPr>
                <w:rFonts w:hint="eastAsia" w:ascii="宋体" w:hAnsi="宋体" w:eastAsia="宋体" w:cs="宋体"/>
                <w:bCs/>
                <w:sz w:val="21"/>
                <w:szCs w:val="21"/>
                <w:highlight w:val="none"/>
                <w:lang w:val="en-US" w:eastAsia="zh-CN"/>
              </w:rPr>
              <w:t>投标人</w:t>
            </w:r>
            <w:r>
              <w:rPr>
                <w:rFonts w:hint="eastAsia" w:ascii="宋体" w:hAnsi="宋体" w:eastAsia="宋体" w:cs="宋体"/>
                <w:bCs/>
                <w:sz w:val="21"/>
                <w:szCs w:val="21"/>
                <w:highlight w:val="none"/>
                <w:lang w:val="en-US" w:eastAsia="zh-CN"/>
              </w:rPr>
              <w:t>公章。</w:t>
            </w:r>
          </w:p>
        </w:tc>
      </w:tr>
      <w:tr w14:paraId="06807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45" w:type="dxa"/>
            <w:vMerge w:val="continue"/>
            <w:tcBorders>
              <w:left w:val="single" w:color="auto" w:sz="4" w:space="0"/>
              <w:right w:val="single" w:color="auto" w:sz="4" w:space="0"/>
            </w:tcBorders>
            <w:vAlign w:val="center"/>
          </w:tcPr>
          <w:p w14:paraId="02E36D9D">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887" w:type="dxa"/>
            <w:vMerge w:val="continue"/>
            <w:tcBorders>
              <w:left w:val="single" w:color="auto" w:sz="4" w:space="0"/>
              <w:right w:val="single" w:color="auto" w:sz="4" w:space="0"/>
            </w:tcBorders>
            <w:vAlign w:val="center"/>
          </w:tcPr>
          <w:p w14:paraId="0DA10BB0">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14:paraId="5BF8B1B8">
            <w:pPr>
              <w:pStyle w:val="130"/>
              <w:keepNext w:val="0"/>
              <w:keepLines w:val="0"/>
              <w:pageBreakBefore w:val="0"/>
              <w:widowControl w:val="0"/>
              <w:kinsoku w:val="0"/>
              <w:wordWrap/>
              <w:overflowPunct w:val="0"/>
              <w:topLinePunct w:val="0"/>
              <w:autoSpaceDE w:val="0"/>
              <w:autoSpaceDN w:val="0"/>
              <w:bidi w:val="0"/>
              <w:adjustRightInd/>
              <w:snapToGri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企业资质</w:t>
            </w:r>
          </w:p>
          <w:p w14:paraId="4A81CD9A">
            <w:pPr>
              <w:pStyle w:val="130"/>
              <w:keepNext w:val="0"/>
              <w:keepLines w:val="0"/>
              <w:pageBreakBefore w:val="0"/>
              <w:widowControl w:val="0"/>
              <w:kinsoku w:val="0"/>
              <w:wordWrap/>
              <w:overflowPunct w:val="0"/>
              <w:topLinePunct w:val="0"/>
              <w:autoSpaceDE w:val="0"/>
              <w:autoSpaceDN w:val="0"/>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lang w:val="zh-CN" w:eastAsia="zh-CN" w:bidi="zh-CN"/>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rPr>
              <w:t>分）</w:t>
            </w:r>
          </w:p>
        </w:tc>
        <w:tc>
          <w:tcPr>
            <w:tcW w:w="7276" w:type="dxa"/>
            <w:tcBorders>
              <w:top w:val="single" w:color="auto" w:sz="4" w:space="0"/>
              <w:left w:val="single" w:color="auto" w:sz="4" w:space="0"/>
              <w:bottom w:val="single" w:color="auto" w:sz="4" w:space="0"/>
              <w:right w:val="single" w:color="auto" w:sz="4" w:space="0"/>
            </w:tcBorders>
            <w:shd w:val="clear" w:color="auto" w:fill="auto"/>
            <w:vAlign w:val="center"/>
          </w:tcPr>
          <w:p w14:paraId="03F89D00">
            <w:pPr>
              <w:pStyle w:val="4"/>
              <w:keepNext w:val="0"/>
              <w:keepLines w:val="0"/>
              <w:pageBreakBefore w:val="0"/>
              <w:wordWrap/>
              <w:topLinePunct w:val="0"/>
              <w:autoSpaceDE/>
              <w:autoSpaceDN/>
              <w:bidi w:val="0"/>
              <w:spacing w:after="0" w:line="380" w:lineRule="exact"/>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提供ISO20000或ISO27001体系认证、ISO9001质量体系认证证书、</w:t>
            </w:r>
            <w:r>
              <w:rPr>
                <w:rFonts w:hint="eastAsia" w:ascii="宋体" w:hAnsi="宋体" w:eastAsia="宋体" w:cs="宋体"/>
                <w:sz w:val="21"/>
                <w:szCs w:val="21"/>
                <w:highlight w:val="none"/>
                <w:lang w:val="en-US" w:eastAsia="zh-CN"/>
              </w:rPr>
              <w:t>ISO22301业务连续性管理体系认证证书、IS</w:t>
            </w:r>
            <w:r>
              <w:rPr>
                <w:rFonts w:hint="eastAsia" w:ascii="宋体" w:hAnsi="宋体" w:cs="宋体"/>
                <w:sz w:val="21"/>
                <w:szCs w:val="21"/>
                <w:highlight w:val="none"/>
                <w:lang w:val="en-US" w:eastAsia="zh-CN"/>
              </w:rPr>
              <w:t>O</w:t>
            </w:r>
            <w:r>
              <w:rPr>
                <w:rFonts w:hint="eastAsia" w:ascii="宋体" w:hAnsi="宋体" w:eastAsia="宋体" w:cs="宋体"/>
                <w:sz w:val="21"/>
                <w:szCs w:val="21"/>
                <w:highlight w:val="none"/>
                <w:lang w:val="en-US" w:eastAsia="zh-CN"/>
              </w:rPr>
              <w:t>27701隐私信息管理体系证书、国产化信息系统集成和服务能力等级证书(LS证书) 、信息系统建设和服务能力等级证书（CS证书）</w:t>
            </w:r>
            <w:r>
              <w:rPr>
                <w:rFonts w:hint="eastAsia" w:ascii="宋体" w:hAnsi="宋体" w:eastAsia="宋体" w:cs="宋体"/>
                <w:color w:val="auto"/>
                <w:sz w:val="21"/>
                <w:szCs w:val="21"/>
                <w:highlight w:val="none"/>
                <w:lang w:val="en-US" w:eastAsia="zh-CN"/>
              </w:rPr>
              <w:t>资质。每提供一个得1分，满分6分。</w:t>
            </w:r>
          </w:p>
          <w:p w14:paraId="1FF7CE55">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kern w:val="0"/>
                <w:sz w:val="21"/>
                <w:szCs w:val="21"/>
                <w:highlight w:val="none"/>
                <w:lang w:val="en-US" w:eastAsia="zh-CN" w:bidi="zh-CN"/>
              </w:rPr>
            </w:pPr>
            <w:r>
              <w:rPr>
                <w:rFonts w:hint="eastAsia" w:ascii="宋体" w:hAnsi="宋体" w:eastAsia="宋体" w:cs="宋体"/>
                <w:color w:val="auto"/>
                <w:sz w:val="21"/>
                <w:szCs w:val="21"/>
                <w:highlight w:val="none"/>
                <w:lang w:val="en-US" w:eastAsia="zh-CN"/>
              </w:rPr>
              <w:t>注：提供以上证书或其他相关证明文件复印件，所有证书需在有效期内</w:t>
            </w:r>
            <w:r>
              <w:rPr>
                <w:rFonts w:hint="eastAsia" w:cs="宋体"/>
                <w:color w:val="auto"/>
                <w:sz w:val="21"/>
                <w:szCs w:val="21"/>
                <w:highlight w:val="none"/>
                <w:lang w:val="en-US" w:eastAsia="zh-CN"/>
              </w:rPr>
              <w:t>。</w:t>
            </w:r>
          </w:p>
        </w:tc>
      </w:tr>
      <w:tr w14:paraId="6EE9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545" w:type="dxa"/>
            <w:vMerge w:val="restart"/>
            <w:tcBorders>
              <w:left w:val="single" w:color="auto" w:sz="4" w:space="0"/>
              <w:right w:val="single" w:color="auto" w:sz="4" w:space="0"/>
            </w:tcBorders>
            <w:vAlign w:val="center"/>
          </w:tcPr>
          <w:p w14:paraId="17DE4F17">
            <w:pPr>
              <w:pStyle w:val="28"/>
              <w:keepNext w:val="0"/>
              <w:keepLines w:val="0"/>
              <w:pageBreakBefore w:val="0"/>
              <w:wordWrap/>
              <w:topLinePunct w:val="0"/>
              <w:bidi w:val="0"/>
              <w:adjustRightInd/>
              <w:spacing w:line="400" w:lineRule="exact"/>
              <w:jc w:val="center"/>
              <w:textAlignment w:val="auto"/>
              <w:rPr>
                <w:rFonts w:hint="default"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2</w:t>
            </w:r>
          </w:p>
        </w:tc>
        <w:tc>
          <w:tcPr>
            <w:tcW w:w="887" w:type="dxa"/>
            <w:vMerge w:val="restart"/>
            <w:tcBorders>
              <w:left w:val="single" w:color="auto" w:sz="4" w:space="0"/>
              <w:right w:val="single" w:color="auto" w:sz="4" w:space="0"/>
            </w:tcBorders>
            <w:vAlign w:val="center"/>
          </w:tcPr>
          <w:p w14:paraId="72960347">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技术（64分）</w:t>
            </w:r>
          </w:p>
        </w:tc>
        <w:tc>
          <w:tcPr>
            <w:tcW w:w="948" w:type="dxa"/>
            <w:tcBorders>
              <w:top w:val="single" w:color="auto" w:sz="4" w:space="0"/>
              <w:left w:val="single" w:color="auto" w:sz="4" w:space="0"/>
              <w:right w:val="single" w:color="auto" w:sz="4" w:space="0"/>
            </w:tcBorders>
            <w:shd w:val="clear" w:color="auto" w:fill="auto"/>
            <w:vAlign w:val="center"/>
          </w:tcPr>
          <w:p w14:paraId="4776D873">
            <w:pPr>
              <w:pStyle w:val="28"/>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项目团队</w:t>
            </w:r>
          </w:p>
          <w:p w14:paraId="11CA7FC0">
            <w:pPr>
              <w:pStyle w:val="28"/>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kern w:val="0"/>
                <w:sz w:val="21"/>
                <w:szCs w:val="21"/>
                <w:highlight w:val="none"/>
                <w:lang w:val="zh-CN" w:eastAsia="zh-CN" w:bidi="zh-CN"/>
              </w:rPr>
            </w:pPr>
            <w:r>
              <w:rPr>
                <w:rFonts w:hint="eastAsia" w:ascii="宋体" w:hAnsi="宋体" w:eastAsia="宋体" w:cs="宋体"/>
                <w:bCs/>
                <w:sz w:val="21"/>
                <w:szCs w:val="21"/>
                <w:highlight w:val="none"/>
                <w:lang w:val="en-US" w:eastAsia="zh-CN"/>
              </w:rPr>
              <w:t>（</w:t>
            </w:r>
            <w:r>
              <w:rPr>
                <w:rFonts w:hint="eastAsia" w:hAnsi="宋体" w:eastAsia="宋体" w:cs="宋体"/>
                <w:bCs/>
                <w:sz w:val="21"/>
                <w:szCs w:val="21"/>
                <w:highlight w:val="none"/>
                <w:lang w:val="en-US" w:eastAsia="zh-CN"/>
              </w:rPr>
              <w:t>9</w:t>
            </w:r>
            <w:r>
              <w:rPr>
                <w:rFonts w:hint="eastAsia" w:ascii="宋体" w:hAnsi="宋体" w:eastAsia="宋体" w:cs="宋体"/>
                <w:bCs/>
                <w:sz w:val="21"/>
                <w:szCs w:val="21"/>
                <w:highlight w:val="none"/>
                <w:lang w:val="en-US" w:eastAsia="zh-CN"/>
              </w:rPr>
              <w:t>分）</w:t>
            </w:r>
          </w:p>
        </w:tc>
        <w:tc>
          <w:tcPr>
            <w:tcW w:w="7276" w:type="dxa"/>
            <w:tcBorders>
              <w:top w:val="single" w:color="auto" w:sz="4" w:space="0"/>
              <w:left w:val="single" w:color="auto" w:sz="4" w:space="0"/>
              <w:bottom w:val="single" w:color="auto" w:sz="4" w:space="0"/>
              <w:right w:val="single" w:color="auto" w:sz="4" w:space="0"/>
            </w:tcBorders>
            <w:shd w:val="clear" w:color="auto" w:fill="auto"/>
            <w:vAlign w:val="center"/>
          </w:tcPr>
          <w:p w14:paraId="664A7772">
            <w:pPr>
              <w:pStyle w:val="28"/>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default"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根据投标人项目团队内容（项目经理不少于2个同类项目经验、团队其他人员不少于1个同类项目经验等方面材料）进行评审：</w:t>
            </w:r>
          </w:p>
          <w:p w14:paraId="168B620B">
            <w:pPr>
              <w:pStyle w:val="28"/>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一档（0.1～3分）项目经理有不少于2个同类项目经验、团队人员有1-2个同类项目经验</w:t>
            </w:r>
            <w:r>
              <w:rPr>
                <w:rFonts w:hint="eastAsia" w:hAnsi="宋体" w:eastAsia="宋体" w:cs="宋体"/>
                <w:bCs/>
                <w:sz w:val="21"/>
                <w:szCs w:val="21"/>
                <w:highlight w:val="none"/>
                <w:lang w:val="en-US" w:eastAsia="zh-CN"/>
              </w:rPr>
              <w:t>；</w:t>
            </w:r>
          </w:p>
          <w:p w14:paraId="622C39DF">
            <w:pPr>
              <w:pStyle w:val="28"/>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二</w:t>
            </w:r>
            <w:r>
              <w:rPr>
                <w:rFonts w:hint="eastAsia" w:ascii="宋体" w:hAnsi="宋体" w:eastAsia="宋体" w:cs="宋体"/>
                <w:bCs/>
                <w:sz w:val="21"/>
                <w:szCs w:val="21"/>
                <w:highlight w:val="none"/>
                <w:lang w:val="en-US" w:eastAsia="zh-CN"/>
              </w:rPr>
              <w:t>档</w:t>
            </w:r>
            <w:r>
              <w:rPr>
                <w:rFonts w:hint="eastAsia" w:ascii="宋体" w:hAnsi="宋体" w:eastAsia="宋体" w:cs="宋体"/>
                <w:bCs/>
                <w:sz w:val="21"/>
                <w:szCs w:val="21"/>
                <w:highlight w:val="none"/>
                <w:lang w:val="en-US" w:eastAsia="zh-CN"/>
              </w:rPr>
              <w:t>（3.1～6分）项目经理有不少于3个同类项目经验、团队人员有1-2个同类项目经验</w:t>
            </w:r>
            <w:r>
              <w:rPr>
                <w:rFonts w:hint="eastAsia" w:hAnsi="宋体" w:eastAsia="宋体" w:cs="宋体"/>
                <w:bCs/>
                <w:sz w:val="21"/>
                <w:szCs w:val="21"/>
                <w:highlight w:val="none"/>
                <w:lang w:val="en-US" w:eastAsia="zh-CN"/>
              </w:rPr>
              <w:t>；</w:t>
            </w:r>
          </w:p>
          <w:p w14:paraId="0879758A">
            <w:pPr>
              <w:pStyle w:val="28"/>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三</w:t>
            </w:r>
            <w:r>
              <w:rPr>
                <w:rFonts w:hint="eastAsia" w:ascii="宋体" w:hAnsi="宋体" w:eastAsia="宋体" w:cs="宋体"/>
                <w:sz w:val="21"/>
                <w:szCs w:val="21"/>
                <w:highlight w:val="none"/>
                <w:lang w:val="en-US" w:eastAsia="zh-CN"/>
              </w:rPr>
              <w:t>档</w:t>
            </w:r>
            <w:r>
              <w:rPr>
                <w:rFonts w:hint="eastAsia" w:ascii="宋体" w:hAnsi="宋体" w:eastAsia="宋体" w:cs="宋体"/>
                <w:sz w:val="21"/>
                <w:szCs w:val="21"/>
                <w:highlight w:val="none"/>
                <w:lang w:val="en-US" w:eastAsia="zh-CN"/>
              </w:rPr>
              <w:t>（6.1～9分）项目经理有5个及以上同类项目经验，</w:t>
            </w:r>
            <w:r>
              <w:rPr>
                <w:rFonts w:hint="eastAsia" w:ascii="宋体" w:hAnsi="宋体" w:eastAsia="宋体" w:cs="宋体"/>
                <w:sz w:val="21"/>
                <w:szCs w:val="21"/>
                <w:highlight w:val="none"/>
              </w:rPr>
              <w:t>同时具备</w:t>
            </w:r>
            <w:r>
              <w:rPr>
                <w:rFonts w:hint="eastAsia" w:ascii="宋体" w:hAnsi="宋体" w:eastAsia="宋体" w:cs="宋体"/>
                <w:sz w:val="21"/>
                <w:szCs w:val="21"/>
                <w:highlight w:val="none"/>
                <w:lang w:val="en-US" w:eastAsia="zh-CN"/>
              </w:rPr>
              <w:t>软件开发或AI相关</w:t>
            </w:r>
            <w:r>
              <w:rPr>
                <w:rFonts w:hint="eastAsia" w:ascii="宋体" w:hAnsi="宋体" w:eastAsia="宋体" w:cs="宋体"/>
                <w:sz w:val="21"/>
                <w:szCs w:val="21"/>
                <w:highlight w:val="none"/>
              </w:rPr>
              <w:t>证书（</w:t>
            </w:r>
            <w:r>
              <w:rPr>
                <w:rFonts w:hint="eastAsia" w:ascii="宋体" w:hAnsi="宋体" w:eastAsia="宋体" w:cs="宋体"/>
                <w:sz w:val="21"/>
                <w:szCs w:val="21"/>
                <w:highlight w:val="none"/>
                <w:lang w:val="en-US" w:eastAsia="zh-CN"/>
              </w:rPr>
              <w:t>软考中级以上、AI相关认证（如华为昇腾HCIP认证）、2</w:t>
            </w:r>
            <w:r>
              <w:rPr>
                <w:rFonts w:hint="eastAsia" w:ascii="宋体" w:hAnsi="宋体" w:eastAsia="宋体" w:cs="宋体"/>
                <w:sz w:val="21"/>
                <w:szCs w:val="21"/>
                <w:highlight w:val="none"/>
              </w:rPr>
              <w:t>个证书中的一项或多项）和项目管理师PMP证书</w:t>
            </w:r>
            <w:r>
              <w:rPr>
                <w:rFonts w:hint="eastAsia"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团队人员</w:t>
            </w:r>
            <w:r>
              <w:rPr>
                <w:rFonts w:hint="eastAsia" w:ascii="宋体" w:hAnsi="宋体" w:eastAsia="宋体" w:cs="宋体"/>
                <w:bCs/>
                <w:sz w:val="21"/>
                <w:szCs w:val="21"/>
                <w:highlight w:val="none"/>
                <w:lang w:val="en-US" w:eastAsia="zh-CN"/>
              </w:rPr>
              <w:t>有不少于3个</w:t>
            </w:r>
            <w:r>
              <w:rPr>
                <w:rFonts w:hint="eastAsia" w:ascii="宋体" w:hAnsi="宋体" w:eastAsia="宋体" w:cs="宋体"/>
                <w:sz w:val="21"/>
                <w:szCs w:val="21"/>
                <w:highlight w:val="none"/>
                <w:lang w:val="en-US" w:eastAsia="zh-CN"/>
              </w:rPr>
              <w:t>同类项目经验。</w:t>
            </w:r>
          </w:p>
          <w:p w14:paraId="427BC1F1">
            <w:pPr>
              <w:pStyle w:val="28"/>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kern w:val="0"/>
                <w:sz w:val="21"/>
                <w:szCs w:val="21"/>
                <w:highlight w:val="none"/>
                <w:lang w:val="en-US" w:eastAsia="zh-CN" w:bidi="zh-CN"/>
              </w:rPr>
            </w:pPr>
            <w:r>
              <w:rPr>
                <w:rFonts w:hint="eastAsia" w:ascii="宋体" w:hAnsi="宋体" w:eastAsia="宋体" w:cs="宋体"/>
                <w:sz w:val="21"/>
                <w:szCs w:val="21"/>
                <w:highlight w:val="none"/>
              </w:rPr>
              <w:t>注：①需提供团队人员清单，包含姓名、电话、职务（如项目经理、</w:t>
            </w:r>
            <w:r>
              <w:rPr>
                <w:rFonts w:hint="eastAsia" w:ascii="宋体" w:hAnsi="宋体" w:eastAsia="宋体" w:cs="宋体"/>
                <w:sz w:val="21"/>
                <w:szCs w:val="21"/>
                <w:highlight w:val="none"/>
                <w:lang w:val="en-US"/>
              </w:rPr>
              <w:t>团队</w:t>
            </w:r>
            <w:r>
              <w:rPr>
                <w:rFonts w:hint="eastAsia" w:ascii="宋体" w:hAnsi="宋体" w:eastAsia="宋体" w:cs="宋体"/>
                <w:sz w:val="21"/>
                <w:szCs w:val="21"/>
                <w:highlight w:val="none"/>
              </w:rPr>
              <w:t>人员）、职责等信息</w:t>
            </w:r>
            <w:r>
              <w:rPr>
                <w:rFonts w:hint="eastAsia" w:ascii="宋体" w:hAnsi="宋体" w:eastAsia="宋体" w:cs="宋体"/>
                <w:sz w:val="21"/>
                <w:szCs w:val="21"/>
                <w:highlight w:val="none"/>
                <w:lang w:val="en-US"/>
              </w:rPr>
              <w:t>；②</w:t>
            </w:r>
            <w:r>
              <w:rPr>
                <w:rFonts w:hint="eastAsia" w:ascii="宋体" w:hAnsi="宋体" w:eastAsia="宋体" w:cs="宋体"/>
                <w:szCs w:val="21"/>
                <w:highlight w:val="none"/>
              </w:rPr>
              <w:t>提供证书复印件、所从事过项目的验收报告或用户证明</w:t>
            </w:r>
            <w:r>
              <w:rPr>
                <w:rFonts w:hint="eastAsia" w:ascii="宋体" w:hAnsi="宋体" w:eastAsia="宋体" w:cs="宋体"/>
                <w:szCs w:val="21"/>
                <w:highlight w:val="none"/>
                <w:lang w:val="en-US"/>
              </w:rPr>
              <w:t>；③</w:t>
            </w:r>
            <w:r>
              <w:rPr>
                <w:rFonts w:hint="eastAsia" w:ascii="宋体" w:hAnsi="宋体" w:eastAsia="宋体" w:cs="宋体"/>
                <w:highlight w:val="none"/>
                <w:lang w:val="en-US"/>
              </w:rPr>
              <w:t>由</w:t>
            </w:r>
            <w:r>
              <w:rPr>
                <w:rFonts w:hint="eastAsia" w:ascii="宋体" w:hAnsi="宋体" w:eastAsia="宋体" w:cs="宋体"/>
                <w:highlight w:val="none"/>
              </w:rPr>
              <w:t>投标</w:t>
            </w:r>
            <w:r>
              <w:rPr>
                <w:rFonts w:hint="eastAsia" w:ascii="宋体" w:hAnsi="宋体" w:eastAsia="宋体" w:cs="宋体"/>
                <w:highlight w:val="none"/>
                <w:lang w:val="en-US"/>
              </w:rPr>
              <w:t>人在</w:t>
            </w:r>
            <w:r>
              <w:rPr>
                <w:rFonts w:hint="eastAsia" w:ascii="宋体" w:hAnsi="宋体" w:eastAsia="宋体" w:cs="宋体"/>
                <w:highlight w:val="none"/>
              </w:rPr>
              <w:t>截</w:t>
            </w:r>
            <w:r>
              <w:rPr>
                <w:rFonts w:hint="eastAsia" w:ascii="宋体" w:hAnsi="宋体" w:eastAsia="宋体" w:cs="宋体"/>
                <w:highlight w:val="none"/>
                <w:lang w:val="en-US"/>
              </w:rPr>
              <w:t>标时间</w:t>
            </w:r>
            <w:r>
              <w:rPr>
                <w:rFonts w:hint="eastAsia" w:ascii="宋体" w:hAnsi="宋体" w:eastAsia="宋体" w:cs="宋体"/>
                <w:highlight w:val="none"/>
              </w:rPr>
              <w:t>前</w:t>
            </w:r>
            <w:r>
              <w:rPr>
                <w:rFonts w:hint="eastAsia" w:ascii="宋体" w:hAnsi="宋体" w:eastAsia="宋体" w:cs="宋体"/>
                <w:highlight w:val="none"/>
                <w:lang w:val="en-US"/>
              </w:rPr>
              <w:t>连续</w:t>
            </w:r>
            <w:r>
              <w:rPr>
                <w:rFonts w:hint="eastAsia" w:ascii="宋体" w:hAnsi="宋体" w:eastAsia="宋体" w:cs="宋体"/>
                <w:highlight w:val="none"/>
                <w:lang w:val="en-US" w:eastAsia="zh-CN"/>
              </w:rPr>
              <w:t>6</w:t>
            </w:r>
            <w:r>
              <w:rPr>
                <w:rFonts w:hint="eastAsia" w:ascii="宋体" w:hAnsi="宋体" w:eastAsia="宋体" w:cs="宋体"/>
                <w:highlight w:val="none"/>
              </w:rPr>
              <w:t>个月</w:t>
            </w:r>
            <w:r>
              <w:rPr>
                <w:rFonts w:hint="eastAsia" w:ascii="宋体" w:hAnsi="宋体" w:eastAsia="宋体" w:cs="宋体"/>
                <w:highlight w:val="none"/>
                <w:lang w:val="en-US" w:eastAsia="zh-CN"/>
              </w:rPr>
              <w:t>内任意1个月</w:t>
            </w:r>
            <w:r>
              <w:rPr>
                <w:rFonts w:hint="eastAsia" w:ascii="宋体" w:hAnsi="宋体" w:eastAsia="宋体" w:cs="宋体"/>
                <w:sz w:val="21"/>
                <w:szCs w:val="21"/>
                <w:highlight w:val="none"/>
              </w:rPr>
              <w:t>（不含截标当月）</w:t>
            </w:r>
            <w:r>
              <w:rPr>
                <w:rFonts w:hint="eastAsia" w:ascii="宋体" w:hAnsi="宋体" w:eastAsia="宋体" w:cs="宋体"/>
                <w:highlight w:val="none"/>
                <w:lang w:val="en-US"/>
              </w:rPr>
              <w:t>为其</w:t>
            </w:r>
            <w:r>
              <w:rPr>
                <w:rFonts w:hint="eastAsia" w:ascii="宋体" w:hAnsi="宋体" w:eastAsia="宋体" w:cs="宋体"/>
                <w:highlight w:val="none"/>
              </w:rPr>
              <w:t>缴纳的社保</w:t>
            </w:r>
            <w:r>
              <w:rPr>
                <w:rFonts w:hint="eastAsia" w:ascii="宋体" w:hAnsi="宋体" w:eastAsia="宋体" w:cs="宋体"/>
                <w:highlight w:val="none"/>
                <w:lang w:val="en-US"/>
              </w:rPr>
              <w:t>证明材料</w:t>
            </w:r>
            <w:r>
              <w:rPr>
                <w:rFonts w:hint="eastAsia" w:ascii="宋体" w:hAnsi="宋体" w:eastAsia="宋体" w:cs="宋体"/>
                <w:highlight w:val="none"/>
                <w:lang w:val="en-US" w:eastAsia="zh-CN"/>
              </w:rPr>
              <w:t>复印件</w:t>
            </w:r>
            <w:r>
              <w:rPr>
                <w:rFonts w:hint="eastAsia" w:ascii="宋体" w:hAnsi="宋体" w:eastAsia="宋体" w:cs="宋体"/>
                <w:sz w:val="21"/>
                <w:szCs w:val="21"/>
                <w:highlight w:val="none"/>
                <w:lang w:val="en-US"/>
              </w:rPr>
              <w:t>或劳动合同</w:t>
            </w:r>
            <w:r>
              <w:rPr>
                <w:rFonts w:hint="eastAsia" w:ascii="宋体" w:hAnsi="宋体" w:eastAsia="宋体" w:cs="宋体"/>
                <w:sz w:val="21"/>
                <w:szCs w:val="21"/>
                <w:highlight w:val="none"/>
                <w:lang w:val="en-US" w:eastAsia="zh-CN"/>
              </w:rPr>
              <w:t>复印件</w:t>
            </w:r>
            <w:r>
              <w:rPr>
                <w:rFonts w:hint="eastAsia" w:ascii="宋体" w:hAnsi="宋体" w:eastAsia="宋体" w:cs="宋体"/>
                <w:sz w:val="21"/>
                <w:szCs w:val="21"/>
                <w:highlight w:val="none"/>
              </w:rPr>
              <w:t>（所有相关材料加盖公章，否则无效）。</w:t>
            </w:r>
          </w:p>
        </w:tc>
      </w:tr>
      <w:tr w14:paraId="00F2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545" w:type="dxa"/>
            <w:vMerge w:val="continue"/>
            <w:tcBorders>
              <w:left w:val="single" w:color="auto" w:sz="4" w:space="0"/>
              <w:right w:val="single" w:color="auto" w:sz="4" w:space="0"/>
            </w:tcBorders>
            <w:vAlign w:val="center"/>
          </w:tcPr>
          <w:p w14:paraId="1BED1369">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p>
        </w:tc>
        <w:tc>
          <w:tcPr>
            <w:tcW w:w="887" w:type="dxa"/>
            <w:vMerge w:val="continue"/>
            <w:tcBorders>
              <w:left w:val="single" w:color="auto" w:sz="4" w:space="0"/>
              <w:right w:val="single" w:color="auto" w:sz="4" w:space="0"/>
            </w:tcBorders>
            <w:vAlign w:val="center"/>
          </w:tcPr>
          <w:p w14:paraId="745682AC">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948" w:type="dxa"/>
            <w:tcBorders>
              <w:top w:val="single" w:color="auto" w:sz="4" w:space="0"/>
              <w:left w:val="single" w:color="auto" w:sz="4" w:space="0"/>
              <w:right w:val="single" w:color="auto" w:sz="4" w:space="0"/>
            </w:tcBorders>
            <w:shd w:val="clear" w:color="auto" w:fill="auto"/>
            <w:vAlign w:val="center"/>
          </w:tcPr>
          <w:p w14:paraId="0BE9F492">
            <w:pPr>
              <w:pStyle w:val="28"/>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技术方案及实施方案</w:t>
            </w:r>
          </w:p>
          <w:p w14:paraId="0D47855E">
            <w:pPr>
              <w:pStyle w:val="28"/>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sz w:val="21"/>
                <w:szCs w:val="21"/>
                <w:highlight w:val="none"/>
              </w:rPr>
            </w:pPr>
            <w:r>
              <w:rPr>
                <w:rFonts w:hint="eastAsia" w:ascii="宋体" w:hAnsi="宋体" w:eastAsia="宋体" w:cs="宋体"/>
                <w:sz w:val="21"/>
                <w:szCs w:val="21"/>
                <w:highlight w:val="none"/>
                <w:lang w:eastAsia="zh-CN"/>
              </w:rPr>
              <w:t>（</w:t>
            </w:r>
            <w:r>
              <w:rPr>
                <w:rFonts w:hint="eastAsia" w:hAnsi="宋体" w:eastAsia="宋体" w:cs="宋体"/>
                <w:sz w:val="21"/>
                <w:szCs w:val="21"/>
                <w:highlight w:val="none"/>
                <w:lang w:val="en-US" w:eastAsia="zh-CN"/>
              </w:rPr>
              <w:t>40</w:t>
            </w:r>
            <w:r>
              <w:rPr>
                <w:rFonts w:hint="eastAsia" w:ascii="宋体" w:hAnsi="宋体" w:eastAsia="宋体" w:cs="宋体"/>
                <w:sz w:val="21"/>
                <w:szCs w:val="21"/>
                <w:highlight w:val="none"/>
                <w:lang w:val="en-US" w:eastAsia="zh-CN"/>
              </w:rPr>
              <w:t>分</w:t>
            </w:r>
            <w:r>
              <w:rPr>
                <w:rFonts w:hint="eastAsia" w:ascii="宋体" w:hAnsi="宋体" w:eastAsia="宋体" w:cs="宋体"/>
                <w:sz w:val="21"/>
                <w:szCs w:val="21"/>
                <w:highlight w:val="none"/>
                <w:lang w:eastAsia="zh-CN"/>
              </w:rPr>
              <w:t>）</w:t>
            </w:r>
          </w:p>
        </w:tc>
        <w:tc>
          <w:tcPr>
            <w:tcW w:w="7276" w:type="dxa"/>
            <w:tcBorders>
              <w:top w:val="single" w:color="auto" w:sz="4" w:space="0"/>
              <w:left w:val="single" w:color="auto" w:sz="4" w:space="0"/>
              <w:bottom w:val="single" w:color="auto" w:sz="4" w:space="0"/>
              <w:right w:val="single" w:color="auto" w:sz="4" w:space="0"/>
            </w:tcBorders>
            <w:shd w:val="clear" w:color="auto" w:fill="auto"/>
            <w:vAlign w:val="center"/>
          </w:tcPr>
          <w:p w14:paraId="2464631D">
            <w:pPr>
              <w:pStyle w:val="130"/>
              <w:keepNext w:val="0"/>
              <w:keepLines w:val="0"/>
              <w:pageBreakBefore w:val="0"/>
              <w:kinsoku w:val="0"/>
              <w:wordWrap/>
              <w:overflowPunct w:val="0"/>
              <w:topLinePunct w:val="0"/>
              <w:autoSpaceDE/>
              <w:autoSpaceDN/>
              <w:bidi w:val="0"/>
              <w:spacing w:line="380" w:lineRule="exact"/>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根据投标人投标文件提供的实施方案内容</w:t>
            </w:r>
            <w:r>
              <w:rPr>
                <w:rFonts w:hint="eastAsia" w:cs="宋体"/>
                <w:sz w:val="21"/>
                <w:szCs w:val="21"/>
                <w:highlight w:val="none"/>
                <w:lang w:eastAsia="zh-CN"/>
              </w:rPr>
              <w:t>（</w:t>
            </w:r>
            <w:r>
              <w:rPr>
                <w:rFonts w:hint="eastAsia" w:cs="宋体"/>
                <w:sz w:val="21"/>
                <w:szCs w:val="21"/>
                <w:highlight w:val="none"/>
                <w:lang w:val="en-US" w:eastAsia="zh-CN"/>
              </w:rPr>
              <w:t>包括且不限于</w:t>
            </w:r>
            <w:r>
              <w:rPr>
                <w:rFonts w:hint="eastAsia" w:ascii="宋体" w:hAnsi="宋体" w:eastAsia="宋体" w:cs="宋体"/>
                <w:sz w:val="21"/>
                <w:szCs w:val="21"/>
                <w:highlight w:val="none"/>
              </w:rPr>
              <w:t>实施服务，质量管理，技术培训，项目管理和措施等材料</w:t>
            </w:r>
            <w:r>
              <w:rPr>
                <w:rFonts w:hint="eastAsia" w:cs="宋体"/>
                <w:sz w:val="21"/>
                <w:szCs w:val="21"/>
                <w:highlight w:val="none"/>
                <w:lang w:eastAsia="zh-CN"/>
              </w:rPr>
              <w:t>）</w:t>
            </w:r>
            <w:r>
              <w:rPr>
                <w:rFonts w:hint="eastAsia" w:ascii="宋体" w:hAnsi="宋体" w:eastAsia="宋体" w:cs="宋体"/>
                <w:sz w:val="21"/>
                <w:szCs w:val="21"/>
                <w:highlight w:val="none"/>
              </w:rPr>
              <w:t>进行</w:t>
            </w:r>
            <w:r>
              <w:rPr>
                <w:rFonts w:hint="eastAsia" w:cs="宋体"/>
                <w:sz w:val="21"/>
                <w:szCs w:val="21"/>
                <w:highlight w:val="none"/>
                <w:lang w:val="en-US" w:eastAsia="zh-CN"/>
              </w:rPr>
              <w:t>综合</w:t>
            </w:r>
            <w:r>
              <w:rPr>
                <w:rFonts w:hint="eastAsia" w:ascii="宋体" w:hAnsi="宋体" w:eastAsia="宋体" w:cs="宋体"/>
                <w:sz w:val="21"/>
                <w:szCs w:val="21"/>
                <w:highlight w:val="none"/>
              </w:rPr>
              <w:t>评审：</w:t>
            </w:r>
          </w:p>
          <w:p w14:paraId="3DA91D03">
            <w:pPr>
              <w:pStyle w:val="28"/>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一档（0.1～1</w:t>
            </w:r>
            <w:r>
              <w:rPr>
                <w:rFonts w:hint="eastAsia" w:ascii="宋体" w:hAnsi="宋体" w:eastAsia="宋体" w:cs="宋体"/>
                <w:bCs/>
                <w:sz w:val="21"/>
                <w:szCs w:val="21"/>
                <w:highlight w:val="none"/>
                <w:lang w:val="en-US" w:eastAsia="zh-CN"/>
              </w:rPr>
              <w:t>3</w:t>
            </w:r>
            <w:r>
              <w:rPr>
                <w:rFonts w:hint="eastAsia" w:ascii="宋体" w:hAnsi="宋体" w:eastAsia="宋体" w:cs="宋体"/>
                <w:bCs/>
                <w:sz w:val="21"/>
                <w:szCs w:val="21"/>
                <w:highlight w:val="none"/>
                <w:lang w:val="en-US" w:eastAsia="zh-CN"/>
              </w:rPr>
              <w:t>分）</w:t>
            </w:r>
            <w:r>
              <w:rPr>
                <w:rFonts w:hint="eastAsia" w:ascii="宋体" w:hAnsi="宋体" w:eastAsia="宋体" w:cs="宋体"/>
                <w:bCs/>
                <w:sz w:val="21"/>
                <w:szCs w:val="21"/>
                <w:highlight w:val="none"/>
              </w:rPr>
              <w:t>对实施方案进行着重说明的，但分析不够具体、不全面、方案叙述简单笼统</w:t>
            </w:r>
            <w:r>
              <w:rPr>
                <w:rFonts w:hint="eastAsia" w:ascii="宋体" w:hAnsi="宋体" w:eastAsia="宋体" w:cs="宋体"/>
                <w:bCs/>
                <w:sz w:val="21"/>
                <w:szCs w:val="21"/>
                <w:highlight w:val="none"/>
                <w:lang w:eastAsia="zh-CN"/>
              </w:rPr>
              <w:t>；</w:t>
            </w:r>
          </w:p>
          <w:p w14:paraId="743DBF8F">
            <w:pPr>
              <w:pStyle w:val="28"/>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二档（1</w:t>
            </w:r>
            <w:r>
              <w:rPr>
                <w:rFonts w:hint="eastAsia" w:ascii="宋体" w:hAnsi="宋体" w:eastAsia="宋体" w:cs="宋体"/>
                <w:bCs/>
                <w:sz w:val="21"/>
                <w:szCs w:val="21"/>
                <w:highlight w:val="none"/>
                <w:lang w:val="en-US" w:eastAsia="zh-CN"/>
              </w:rPr>
              <w:t>3</w:t>
            </w:r>
            <w:r>
              <w:rPr>
                <w:rFonts w:hint="eastAsia" w:ascii="宋体" w:hAnsi="宋体" w:eastAsia="宋体" w:cs="宋体"/>
                <w:bCs/>
                <w:sz w:val="21"/>
                <w:szCs w:val="21"/>
                <w:highlight w:val="none"/>
                <w:lang w:val="en-US" w:eastAsia="zh-CN"/>
              </w:rPr>
              <w:t>.1～2</w:t>
            </w:r>
            <w:r>
              <w:rPr>
                <w:rFonts w:hint="eastAsia" w:ascii="宋体" w:hAnsi="宋体" w:eastAsia="宋体" w:cs="宋体"/>
                <w:bCs/>
                <w:sz w:val="21"/>
                <w:szCs w:val="21"/>
                <w:highlight w:val="none"/>
                <w:lang w:val="en-US" w:eastAsia="zh-CN"/>
              </w:rPr>
              <w:t>6</w:t>
            </w:r>
            <w:r>
              <w:rPr>
                <w:rFonts w:hint="eastAsia" w:ascii="宋体" w:hAnsi="宋体" w:eastAsia="宋体" w:cs="宋体"/>
                <w:bCs/>
                <w:sz w:val="21"/>
                <w:szCs w:val="21"/>
                <w:highlight w:val="none"/>
                <w:lang w:val="en-US" w:eastAsia="zh-CN"/>
              </w:rPr>
              <w:t xml:space="preserve">分） </w:t>
            </w:r>
            <w:r>
              <w:rPr>
                <w:rFonts w:hint="eastAsia" w:ascii="宋体" w:hAnsi="宋体" w:eastAsia="宋体" w:cs="宋体"/>
                <w:bCs/>
                <w:sz w:val="21"/>
                <w:szCs w:val="21"/>
                <w:highlight w:val="none"/>
              </w:rPr>
              <w:t>对实施方案着重说明的，能进行较具体、全面分析，方案基本合理、可行</w:t>
            </w:r>
            <w:r>
              <w:rPr>
                <w:rFonts w:hint="eastAsia" w:hAnsi="宋体" w:eastAsia="宋体" w:cs="宋体"/>
                <w:bCs/>
                <w:sz w:val="21"/>
                <w:szCs w:val="21"/>
                <w:highlight w:val="none"/>
                <w:lang w:val="en-US" w:eastAsia="zh-CN"/>
              </w:rPr>
              <w:t>；</w:t>
            </w:r>
          </w:p>
          <w:p w14:paraId="1D2988F6">
            <w:pPr>
              <w:pStyle w:val="28"/>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sz w:val="21"/>
                <w:szCs w:val="21"/>
                <w:highlight w:val="none"/>
              </w:rPr>
            </w:pPr>
            <w:r>
              <w:rPr>
                <w:rFonts w:hint="eastAsia" w:ascii="宋体" w:hAnsi="宋体" w:eastAsia="宋体" w:cs="宋体"/>
                <w:bCs/>
                <w:sz w:val="21"/>
                <w:szCs w:val="21"/>
                <w:highlight w:val="none"/>
                <w:lang w:val="en-US" w:eastAsia="zh-CN"/>
              </w:rPr>
              <w:t>三档（2</w:t>
            </w:r>
            <w:r>
              <w:rPr>
                <w:rFonts w:hint="eastAsia" w:ascii="宋体" w:hAnsi="宋体" w:eastAsia="宋体" w:cs="宋体"/>
                <w:bCs/>
                <w:sz w:val="21"/>
                <w:szCs w:val="21"/>
                <w:highlight w:val="none"/>
                <w:lang w:val="en-US" w:eastAsia="zh-CN"/>
              </w:rPr>
              <w:t>6</w:t>
            </w:r>
            <w:r>
              <w:rPr>
                <w:rFonts w:hint="eastAsia" w:ascii="宋体" w:hAnsi="宋体" w:eastAsia="宋体" w:cs="宋体"/>
                <w:bCs/>
                <w:sz w:val="21"/>
                <w:szCs w:val="21"/>
                <w:highlight w:val="none"/>
                <w:lang w:val="en-US" w:eastAsia="zh-CN"/>
              </w:rPr>
              <w:t>.1～40分）</w:t>
            </w:r>
            <w:r>
              <w:rPr>
                <w:rFonts w:hint="eastAsia" w:ascii="宋体" w:hAnsi="宋体" w:eastAsia="宋体" w:cs="宋体"/>
                <w:bCs/>
                <w:sz w:val="21"/>
                <w:szCs w:val="21"/>
                <w:highlight w:val="none"/>
              </w:rPr>
              <w:t>对实施方案着重说明的，能进行详细全面的分析，方案合理、可行，有针对性地根据所采用的技术的可行性与优点进行详细分析说明，提供良好的深化设计方案</w:t>
            </w:r>
            <w:r>
              <w:rPr>
                <w:rFonts w:hint="eastAsia" w:ascii="宋体" w:hAnsi="宋体" w:eastAsia="宋体" w:cs="宋体"/>
                <w:bCs/>
                <w:sz w:val="21"/>
                <w:szCs w:val="21"/>
                <w:highlight w:val="none"/>
                <w:lang w:eastAsia="zh-CN"/>
              </w:rPr>
              <w:t>。</w:t>
            </w:r>
          </w:p>
        </w:tc>
      </w:tr>
      <w:tr w14:paraId="5BF5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545" w:type="dxa"/>
            <w:vMerge w:val="continue"/>
            <w:tcBorders>
              <w:left w:val="single" w:color="auto" w:sz="4" w:space="0"/>
              <w:right w:val="single" w:color="auto" w:sz="4" w:space="0"/>
            </w:tcBorders>
            <w:vAlign w:val="center"/>
          </w:tcPr>
          <w:p w14:paraId="54CE9FC3">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p>
        </w:tc>
        <w:tc>
          <w:tcPr>
            <w:tcW w:w="887" w:type="dxa"/>
            <w:vMerge w:val="continue"/>
            <w:tcBorders>
              <w:left w:val="single" w:color="auto" w:sz="4" w:space="0"/>
              <w:right w:val="single" w:color="auto" w:sz="4" w:space="0"/>
            </w:tcBorders>
            <w:vAlign w:val="center"/>
          </w:tcPr>
          <w:p w14:paraId="497E9589">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948" w:type="dxa"/>
            <w:tcBorders>
              <w:top w:val="single" w:color="auto" w:sz="4" w:space="0"/>
              <w:left w:val="single" w:color="auto" w:sz="4" w:space="0"/>
              <w:right w:val="single" w:color="auto" w:sz="4" w:space="0"/>
            </w:tcBorders>
            <w:shd w:val="clear" w:color="auto" w:fill="auto"/>
            <w:vAlign w:val="center"/>
          </w:tcPr>
          <w:p w14:paraId="02E953B5">
            <w:pPr>
              <w:pStyle w:val="28"/>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服务方案</w:t>
            </w:r>
          </w:p>
          <w:p w14:paraId="5A5332D5">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kern w:val="0"/>
                <w:sz w:val="21"/>
                <w:szCs w:val="21"/>
                <w:highlight w:val="none"/>
                <w:lang w:val="zh-CN" w:eastAsia="zh-CN" w:bidi="zh-CN"/>
              </w:rPr>
            </w:pPr>
            <w:r>
              <w:rPr>
                <w:rFonts w:hint="eastAsia" w:ascii="宋体" w:hAnsi="宋体" w:eastAsia="宋体" w:cs="宋体"/>
                <w:bCs/>
                <w:sz w:val="21"/>
                <w:szCs w:val="21"/>
                <w:highlight w:val="none"/>
                <w:lang w:val="en-US" w:eastAsia="zh-CN"/>
              </w:rPr>
              <w:t>（</w:t>
            </w:r>
            <w:r>
              <w:rPr>
                <w:rFonts w:hint="eastAsia" w:hAnsi="宋体" w:eastAsia="宋体" w:cs="宋体"/>
                <w:bCs/>
                <w:sz w:val="21"/>
                <w:szCs w:val="21"/>
                <w:highlight w:val="none"/>
                <w:lang w:val="en-US" w:eastAsia="zh-CN"/>
              </w:rPr>
              <w:t>15</w:t>
            </w:r>
            <w:r>
              <w:rPr>
                <w:rFonts w:hint="eastAsia" w:ascii="宋体" w:hAnsi="宋体" w:eastAsia="宋体" w:cs="宋体"/>
                <w:bCs/>
                <w:sz w:val="21"/>
                <w:szCs w:val="21"/>
                <w:highlight w:val="none"/>
                <w:lang w:val="en-US" w:eastAsia="zh-CN"/>
              </w:rPr>
              <w:t>分）</w:t>
            </w:r>
          </w:p>
        </w:tc>
        <w:tc>
          <w:tcPr>
            <w:tcW w:w="7276" w:type="dxa"/>
            <w:tcBorders>
              <w:top w:val="single" w:color="auto" w:sz="4" w:space="0"/>
              <w:left w:val="single" w:color="auto" w:sz="4" w:space="0"/>
              <w:bottom w:val="single" w:color="auto" w:sz="4" w:space="0"/>
              <w:right w:val="single" w:color="auto" w:sz="4" w:space="0"/>
            </w:tcBorders>
            <w:shd w:val="clear" w:color="auto" w:fill="auto"/>
            <w:vAlign w:val="center"/>
          </w:tcPr>
          <w:p w14:paraId="2711D594">
            <w:pPr>
              <w:pStyle w:val="130"/>
              <w:keepNext w:val="0"/>
              <w:keepLines w:val="0"/>
              <w:pageBreakBefore w:val="0"/>
              <w:kinsoku w:val="0"/>
              <w:wordWrap/>
              <w:overflowPunct w:val="0"/>
              <w:topLinePunct w:val="0"/>
              <w:autoSpaceDE/>
              <w:autoSpaceDN/>
              <w:bidi w:val="0"/>
              <w:spacing w:line="380" w:lineRule="exact"/>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根据各投标人提供的服务方案</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包括</w:t>
            </w:r>
            <w:r>
              <w:rPr>
                <w:rFonts w:hint="eastAsia" w:cs="宋体"/>
                <w:sz w:val="21"/>
                <w:szCs w:val="21"/>
                <w:highlight w:val="none"/>
                <w:lang w:val="en-US" w:eastAsia="zh-CN"/>
              </w:rPr>
              <w:t>且</w:t>
            </w:r>
            <w:r>
              <w:rPr>
                <w:rFonts w:hint="eastAsia" w:ascii="宋体" w:hAnsi="宋体" w:eastAsia="宋体" w:cs="宋体"/>
                <w:sz w:val="21"/>
                <w:szCs w:val="21"/>
                <w:highlight w:val="none"/>
              </w:rPr>
              <w:t>不限于</w:t>
            </w:r>
            <w:r>
              <w:rPr>
                <w:rFonts w:hint="default" w:ascii="宋体" w:hAnsi="宋体" w:eastAsia="宋体" w:cs="宋体"/>
                <w:bCs/>
                <w:sz w:val="21"/>
                <w:szCs w:val="21"/>
                <w:highlight w:val="none"/>
                <w:lang w:val="en-US" w:eastAsia="zh-CN"/>
              </w:rPr>
              <w:t>系统设计、开发、测试、部署、上线、培训</w:t>
            </w:r>
            <w:r>
              <w:rPr>
                <w:rFonts w:hint="eastAsia" w:ascii="宋体" w:hAnsi="宋体" w:eastAsia="宋体" w:cs="宋体"/>
                <w:bCs/>
                <w:sz w:val="21"/>
                <w:szCs w:val="21"/>
                <w:highlight w:val="none"/>
                <w:lang w:val="en-US" w:eastAsia="zh-CN"/>
              </w:rPr>
              <w:t>、</w:t>
            </w:r>
            <w:r>
              <w:rPr>
                <w:rFonts w:hint="eastAsia" w:ascii="宋体" w:hAnsi="宋体" w:eastAsia="宋体" w:cs="宋体"/>
                <w:sz w:val="21"/>
                <w:szCs w:val="21"/>
                <w:highlight w:val="none"/>
              </w:rPr>
              <w:t>售后</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项目验收后工程师经历情况及驻场服务方案及其他相关增量服务等</w:t>
            </w:r>
            <w:r>
              <w:rPr>
                <w:rFonts w:hint="eastAsia" w:ascii="宋体" w:hAnsi="宋体" w:eastAsia="宋体" w:cs="宋体"/>
                <w:sz w:val="21"/>
                <w:szCs w:val="21"/>
                <w:highlight w:val="none"/>
                <w:lang w:val="en-US" w:eastAsia="zh-CN"/>
              </w:rPr>
              <w:t>内容</w:t>
            </w:r>
            <w:r>
              <w:rPr>
                <w:rFonts w:hint="eastAsia" w:ascii="宋体" w:hAnsi="宋体" w:eastAsia="宋体" w:cs="宋体"/>
                <w:sz w:val="21"/>
                <w:szCs w:val="21"/>
                <w:highlight w:val="none"/>
                <w:lang w:eastAsia="zh-CN"/>
              </w:rPr>
              <w:t>）</w:t>
            </w:r>
            <w:r>
              <w:rPr>
                <w:rFonts w:hint="default" w:ascii="宋体" w:hAnsi="宋体" w:eastAsia="宋体" w:cs="宋体"/>
                <w:bCs/>
                <w:sz w:val="21"/>
                <w:szCs w:val="21"/>
                <w:highlight w:val="none"/>
                <w:lang w:val="en-US" w:eastAsia="zh-CN"/>
              </w:rPr>
              <w:t>等全流程</w:t>
            </w:r>
            <w:r>
              <w:rPr>
                <w:rFonts w:hint="eastAsia" w:ascii="宋体" w:hAnsi="宋体" w:eastAsia="宋体" w:cs="宋体"/>
                <w:bCs/>
                <w:sz w:val="21"/>
                <w:szCs w:val="21"/>
                <w:highlight w:val="none"/>
                <w:lang w:val="en-US" w:eastAsia="zh-CN"/>
              </w:rPr>
              <w:t>服务内容</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进行</w:t>
            </w:r>
            <w:r>
              <w:rPr>
                <w:rFonts w:hint="eastAsia" w:cs="宋体"/>
                <w:sz w:val="21"/>
                <w:szCs w:val="21"/>
                <w:highlight w:val="none"/>
                <w:lang w:val="en-US" w:eastAsia="zh-CN"/>
              </w:rPr>
              <w:t>综合</w:t>
            </w:r>
            <w:r>
              <w:rPr>
                <w:rFonts w:hint="eastAsia" w:ascii="宋体" w:hAnsi="宋体" w:eastAsia="宋体" w:cs="宋体"/>
                <w:sz w:val="21"/>
                <w:szCs w:val="21"/>
                <w:highlight w:val="none"/>
              </w:rPr>
              <w:t>评审：</w:t>
            </w:r>
          </w:p>
          <w:p w14:paraId="2D30B96F">
            <w:pPr>
              <w:pStyle w:val="28"/>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一档（0.1～5分）</w:t>
            </w:r>
            <w:r>
              <w:rPr>
                <w:rFonts w:hint="eastAsia" w:ascii="宋体" w:hAnsi="宋体" w:eastAsia="宋体" w:cs="宋体"/>
                <w:bCs/>
                <w:sz w:val="21"/>
                <w:szCs w:val="21"/>
                <w:highlight w:val="none"/>
                <w:lang w:val="en-US" w:eastAsia="zh-CN"/>
              </w:rPr>
              <w:t>投标人提供的</w:t>
            </w:r>
            <w:r>
              <w:rPr>
                <w:rFonts w:hint="eastAsia" w:ascii="宋体" w:hAnsi="宋体" w:eastAsia="宋体" w:cs="宋体"/>
                <w:sz w:val="21"/>
                <w:szCs w:val="21"/>
                <w:highlight w:val="none"/>
              </w:rPr>
              <w:t>服务方案</w:t>
            </w:r>
            <w:r>
              <w:rPr>
                <w:rFonts w:hint="eastAsia" w:ascii="宋体" w:hAnsi="宋体" w:eastAsia="宋体" w:cs="宋体"/>
                <w:sz w:val="21"/>
                <w:szCs w:val="21"/>
                <w:highlight w:val="none"/>
                <w:lang w:val="en-US" w:eastAsia="zh-CN"/>
              </w:rPr>
              <w:t>基本</w:t>
            </w:r>
            <w:r>
              <w:rPr>
                <w:rFonts w:hint="eastAsia" w:ascii="宋体" w:hAnsi="宋体" w:eastAsia="宋体" w:cs="宋体"/>
                <w:sz w:val="21"/>
                <w:szCs w:val="21"/>
                <w:highlight w:val="none"/>
              </w:rPr>
              <w:t>可</w:t>
            </w:r>
            <w:r>
              <w:rPr>
                <w:rFonts w:hint="eastAsia" w:ascii="宋体" w:hAnsi="宋体" w:eastAsia="宋体" w:cs="宋体"/>
                <w:sz w:val="21"/>
                <w:szCs w:val="21"/>
                <w:highlight w:val="none"/>
                <w:lang w:val="en-US" w:eastAsia="zh-CN"/>
              </w:rPr>
              <w:t>行，服务内容基本符合本项目需求</w:t>
            </w:r>
            <w:r>
              <w:rPr>
                <w:rFonts w:hint="eastAsia" w:ascii="宋体" w:hAnsi="宋体" w:eastAsia="宋体" w:cs="宋体"/>
                <w:sz w:val="21"/>
                <w:szCs w:val="21"/>
                <w:highlight w:val="none"/>
                <w:lang w:eastAsia="zh-CN"/>
              </w:rPr>
              <w:t>；</w:t>
            </w:r>
          </w:p>
          <w:p w14:paraId="3FA1784E">
            <w:pPr>
              <w:pStyle w:val="28"/>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二档（5.1～10分）</w:t>
            </w:r>
            <w:r>
              <w:rPr>
                <w:rFonts w:hint="eastAsia" w:ascii="宋体" w:hAnsi="宋体" w:eastAsia="宋体" w:cs="宋体"/>
                <w:bCs/>
                <w:sz w:val="21"/>
                <w:szCs w:val="21"/>
                <w:highlight w:val="none"/>
                <w:lang w:val="en-US" w:eastAsia="zh-CN"/>
              </w:rPr>
              <w:t>在满足一档的基础上，服务内容明确、售后服务要求对本项目具</w:t>
            </w:r>
            <w:r>
              <w:rPr>
                <w:rFonts w:hint="eastAsia" w:hAnsi="宋体" w:eastAsia="宋体" w:cs="宋体"/>
                <w:bCs/>
                <w:sz w:val="21"/>
                <w:szCs w:val="21"/>
                <w:highlight w:val="none"/>
                <w:lang w:val="en-US" w:eastAsia="zh-CN"/>
              </w:rPr>
              <w:t>有</w:t>
            </w:r>
            <w:r>
              <w:rPr>
                <w:rFonts w:hint="eastAsia" w:ascii="宋体" w:hAnsi="宋体" w:eastAsia="宋体" w:cs="宋体"/>
                <w:bCs/>
                <w:sz w:val="21"/>
                <w:szCs w:val="21"/>
                <w:highlight w:val="none"/>
                <w:lang w:val="en-US" w:eastAsia="zh-CN"/>
              </w:rPr>
              <w:t>针对性</w:t>
            </w:r>
            <w:r>
              <w:rPr>
                <w:rFonts w:hint="eastAsia" w:ascii="宋体" w:hAnsi="宋体" w:eastAsia="宋体" w:cs="宋体"/>
                <w:sz w:val="21"/>
                <w:szCs w:val="21"/>
                <w:highlight w:val="none"/>
                <w:lang w:eastAsia="zh-CN"/>
              </w:rPr>
              <w:t>；</w:t>
            </w:r>
          </w:p>
          <w:p w14:paraId="01DE248A">
            <w:pPr>
              <w:pStyle w:val="28"/>
              <w:keepNext w:val="0"/>
              <w:keepLines w:val="0"/>
              <w:pageBreakBefore w:val="0"/>
              <w:kinsoku/>
              <w:wordWrap/>
              <w:overflowPunct/>
              <w:topLinePunct w:val="0"/>
              <w:autoSpaceDE/>
              <w:autoSpaceDN/>
              <w:bidi w:val="0"/>
              <w:adjustRightInd/>
              <w:snapToGrid/>
              <w:spacing w:line="380" w:lineRule="exact"/>
              <w:ind w:firstLine="0" w:firstLineChars="0"/>
              <w:jc w:val="both"/>
              <w:textAlignment w:val="auto"/>
              <w:rPr>
                <w:rFonts w:hint="eastAsia" w:asciiTheme="minorEastAsia" w:hAnsiTheme="minorEastAsia" w:eastAsiaTheme="minorEastAsia" w:cstheme="minorEastAsia"/>
                <w:b/>
                <w:kern w:val="0"/>
                <w:sz w:val="21"/>
                <w:szCs w:val="21"/>
                <w:highlight w:val="none"/>
                <w:lang w:val="en-US" w:eastAsia="zh-CN" w:bidi="zh-CN"/>
              </w:rPr>
            </w:pPr>
            <w:r>
              <w:rPr>
                <w:rFonts w:hint="eastAsia" w:ascii="宋体" w:hAnsi="宋体" w:eastAsia="宋体" w:cs="宋体"/>
                <w:bCs/>
                <w:sz w:val="21"/>
                <w:szCs w:val="21"/>
                <w:highlight w:val="none"/>
                <w:lang w:val="en-US" w:eastAsia="zh-CN"/>
              </w:rPr>
              <w:t>三档（10.1～15 分）</w:t>
            </w:r>
            <w:r>
              <w:rPr>
                <w:rFonts w:hint="eastAsia" w:ascii="宋体" w:hAnsi="宋体" w:eastAsia="宋体" w:cs="宋体"/>
                <w:bCs/>
                <w:sz w:val="21"/>
                <w:szCs w:val="21"/>
                <w:highlight w:val="none"/>
                <w:lang w:val="en-US" w:eastAsia="zh-CN"/>
              </w:rPr>
              <w:t>在满足二档的基础上，提供针对的服务方案，售后方案全面，方案表述清晰、完整，措施有效可行，可操作性强</w:t>
            </w:r>
            <w:r>
              <w:rPr>
                <w:rFonts w:hint="eastAsia" w:ascii="宋体" w:hAnsi="宋体" w:eastAsia="宋体" w:cs="宋体"/>
                <w:sz w:val="21"/>
                <w:szCs w:val="21"/>
                <w:highlight w:val="none"/>
                <w:lang w:eastAsia="zh-CN"/>
              </w:rPr>
              <w:t>。</w:t>
            </w:r>
          </w:p>
        </w:tc>
      </w:tr>
      <w:tr w14:paraId="4B48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2" w:hRule="atLeast"/>
          <w:jc w:val="center"/>
        </w:trPr>
        <w:tc>
          <w:tcPr>
            <w:tcW w:w="545" w:type="dxa"/>
            <w:vMerge w:val="restart"/>
            <w:tcBorders>
              <w:left w:val="single" w:color="auto" w:sz="4" w:space="0"/>
              <w:right w:val="single" w:color="auto" w:sz="4" w:space="0"/>
            </w:tcBorders>
            <w:vAlign w:val="center"/>
          </w:tcPr>
          <w:p w14:paraId="105724CE">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3</w:t>
            </w:r>
          </w:p>
        </w:tc>
        <w:tc>
          <w:tcPr>
            <w:tcW w:w="887" w:type="dxa"/>
            <w:vMerge w:val="restart"/>
            <w:tcBorders>
              <w:left w:val="single" w:color="auto" w:sz="4" w:space="0"/>
              <w:right w:val="single" w:color="auto" w:sz="4" w:space="0"/>
            </w:tcBorders>
            <w:vAlign w:val="center"/>
          </w:tcPr>
          <w:p w14:paraId="351BCEA6">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价格（</w:t>
            </w:r>
            <w:r>
              <w:rPr>
                <w:rFonts w:hint="eastAsia" w:asciiTheme="minorEastAsia" w:hAnsiTheme="minorEastAsia" w:eastAsiaTheme="minorEastAsia" w:cstheme="minorEastAsia"/>
                <w:bCs/>
                <w:sz w:val="21"/>
                <w:szCs w:val="21"/>
                <w:highlight w:val="none"/>
                <w:lang w:val="en-US" w:eastAsia="zh-CN"/>
              </w:rPr>
              <w:t>2</w:t>
            </w:r>
            <w:r>
              <w:rPr>
                <w:rFonts w:hint="eastAsia" w:asciiTheme="minorEastAsia" w:hAnsiTheme="minorEastAsia" w:eastAsiaTheme="minorEastAsia" w:cstheme="minorEastAsia"/>
                <w:bCs/>
                <w:sz w:val="21"/>
                <w:szCs w:val="21"/>
                <w:highlight w:val="none"/>
              </w:rPr>
              <w:t>0分）</w:t>
            </w:r>
          </w:p>
        </w:tc>
        <w:tc>
          <w:tcPr>
            <w:tcW w:w="948" w:type="dxa"/>
            <w:tcBorders>
              <w:top w:val="single" w:color="auto" w:sz="4" w:space="0"/>
              <w:left w:val="single" w:color="auto" w:sz="4" w:space="0"/>
              <w:bottom w:val="single" w:color="auto" w:sz="4" w:space="0"/>
              <w:right w:val="single" w:color="auto" w:sz="4" w:space="0"/>
            </w:tcBorders>
            <w:vAlign w:val="center"/>
          </w:tcPr>
          <w:p w14:paraId="0B6DA1DE">
            <w:pPr>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明确需求</w:t>
            </w:r>
            <w:r>
              <w:rPr>
                <w:rFonts w:hint="eastAsia" w:asciiTheme="minorEastAsia" w:hAnsiTheme="minorEastAsia" w:eastAsiaTheme="minorEastAsia" w:cstheme="minorEastAsia"/>
                <w:sz w:val="21"/>
                <w:szCs w:val="21"/>
                <w:highlight w:val="none"/>
              </w:rPr>
              <w:t>价格（</w:t>
            </w:r>
            <w:r>
              <w:rPr>
                <w:rFonts w:hint="eastAsia" w:asciiTheme="minorEastAsia" w:hAnsiTheme="minorEastAsia" w:eastAsiaTheme="minorEastAsia" w:cstheme="minorEastAsia"/>
                <w:sz w:val="21"/>
                <w:szCs w:val="21"/>
                <w:highlight w:val="none"/>
                <w:lang w:val="en-US" w:eastAsia="zh-CN"/>
              </w:rPr>
              <w:t>18</w:t>
            </w:r>
            <w:r>
              <w:rPr>
                <w:rFonts w:hint="eastAsia" w:asciiTheme="minorEastAsia" w:hAnsiTheme="minorEastAsia" w:eastAsiaTheme="minorEastAsia" w:cstheme="minorEastAsia"/>
                <w:sz w:val="21"/>
                <w:szCs w:val="21"/>
                <w:highlight w:val="none"/>
              </w:rPr>
              <w:t>分）</w:t>
            </w:r>
          </w:p>
        </w:tc>
        <w:tc>
          <w:tcPr>
            <w:tcW w:w="7276" w:type="dxa"/>
            <w:tcBorders>
              <w:top w:val="single" w:color="auto" w:sz="4" w:space="0"/>
              <w:left w:val="single" w:color="auto" w:sz="4" w:space="0"/>
              <w:bottom w:val="single" w:color="auto" w:sz="4" w:space="0"/>
              <w:right w:val="single" w:color="auto" w:sz="4" w:space="0"/>
            </w:tcBorders>
            <w:vAlign w:val="center"/>
          </w:tcPr>
          <w:p w14:paraId="557F0275">
            <w:pPr>
              <w:pStyle w:val="130"/>
              <w:keepNext w:val="0"/>
              <w:keepLines w:val="0"/>
              <w:pageBreakBefore w:val="0"/>
              <w:kinsoku w:val="0"/>
              <w:wordWrap/>
              <w:overflowPunct w:val="0"/>
              <w:topLinePunct w:val="0"/>
              <w:autoSpaceDE/>
              <w:autoSpaceDN/>
              <w:bidi w:val="0"/>
              <w:adjustRightInd/>
              <w:snapToGrid w:val="0"/>
              <w:spacing w:line="400" w:lineRule="exact"/>
              <w:textAlignment w:val="auto"/>
              <w:rPr>
                <w:rFonts w:hint="eastAsia" w:asciiTheme="minorEastAsia" w:hAnsiTheme="minorEastAsia" w:eastAsiaTheme="minorEastAsia" w:cstheme="minorEastAsia"/>
                <w:sz w:val="21"/>
                <w:szCs w:val="21"/>
                <w:highlight w:val="none"/>
                <w:lang w:val="en-US"/>
              </w:rPr>
            </w:pPr>
            <w:r>
              <w:rPr>
                <w:rFonts w:hint="eastAsia" w:asciiTheme="minorEastAsia" w:hAnsiTheme="minorEastAsia" w:eastAsiaTheme="minorEastAsia" w:cstheme="minorEastAsia"/>
                <w:sz w:val="21"/>
                <w:szCs w:val="21"/>
                <w:highlight w:val="none"/>
                <w:lang w:val="en-US"/>
              </w:rPr>
              <w:t>满足磋商文件要求且最后报价最低的投标人的价格作为磋商基准价，磋商基准价报价得分为</w:t>
            </w:r>
            <w:r>
              <w:rPr>
                <w:rFonts w:hint="eastAsia" w:asciiTheme="minorEastAsia" w:hAnsiTheme="minorEastAsia" w:eastAsiaTheme="minorEastAsia" w:cstheme="minorEastAsia"/>
                <w:sz w:val="21"/>
                <w:szCs w:val="21"/>
                <w:highlight w:val="none"/>
                <w:lang w:val="en-US" w:eastAsia="zh-CN"/>
              </w:rPr>
              <w:t>18</w:t>
            </w:r>
            <w:r>
              <w:rPr>
                <w:rFonts w:hint="eastAsia" w:asciiTheme="minorEastAsia" w:hAnsiTheme="minorEastAsia" w:eastAsiaTheme="minorEastAsia" w:cstheme="minorEastAsia"/>
                <w:sz w:val="21"/>
                <w:szCs w:val="21"/>
                <w:highlight w:val="none"/>
                <w:lang w:val="en-US"/>
              </w:rPr>
              <w:t>分。</w:t>
            </w:r>
          </w:p>
          <w:p w14:paraId="6C7DAD8F">
            <w:pPr>
              <w:pStyle w:val="130"/>
              <w:keepNext w:val="0"/>
              <w:keepLines w:val="0"/>
              <w:pageBreakBefore w:val="0"/>
              <w:kinsoku w:val="0"/>
              <w:wordWrap/>
              <w:overflowPunct w:val="0"/>
              <w:topLinePunct w:val="0"/>
              <w:bidi w:val="0"/>
              <w:adjustRightIn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rPr>
              <w:t>投标人磋商报价得分=（磋商基准价÷投标人的最后报价）×</w:t>
            </w:r>
            <w:r>
              <w:rPr>
                <w:rFonts w:hint="eastAsia" w:asciiTheme="minorEastAsia" w:hAnsiTheme="minorEastAsia" w:eastAsiaTheme="minorEastAsia" w:cstheme="minorEastAsia"/>
                <w:sz w:val="21"/>
                <w:szCs w:val="21"/>
                <w:highlight w:val="none"/>
                <w:lang w:val="en-US" w:eastAsia="zh-CN"/>
              </w:rPr>
              <w:t>18</w:t>
            </w:r>
            <w:r>
              <w:rPr>
                <w:rFonts w:hint="eastAsia" w:asciiTheme="minorEastAsia" w:hAnsiTheme="minorEastAsia" w:eastAsiaTheme="minorEastAsia" w:cstheme="minorEastAsia"/>
                <w:sz w:val="21"/>
                <w:szCs w:val="21"/>
                <w:highlight w:val="none"/>
                <w:lang w:val="en-US"/>
              </w:rPr>
              <w:t>分。</w:t>
            </w:r>
          </w:p>
        </w:tc>
      </w:tr>
      <w:tr w14:paraId="3709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2" w:hRule="atLeast"/>
          <w:jc w:val="center"/>
        </w:trPr>
        <w:tc>
          <w:tcPr>
            <w:tcW w:w="545" w:type="dxa"/>
            <w:vMerge w:val="continue"/>
            <w:tcBorders>
              <w:left w:val="single" w:color="auto" w:sz="4" w:space="0"/>
              <w:right w:val="single" w:color="auto" w:sz="4" w:space="0"/>
            </w:tcBorders>
            <w:vAlign w:val="center"/>
          </w:tcPr>
          <w:p w14:paraId="0350407B">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887" w:type="dxa"/>
            <w:vMerge w:val="continue"/>
            <w:tcBorders>
              <w:left w:val="single" w:color="auto" w:sz="4" w:space="0"/>
              <w:right w:val="single" w:color="auto" w:sz="4" w:space="0"/>
            </w:tcBorders>
            <w:vAlign w:val="center"/>
          </w:tcPr>
          <w:p w14:paraId="48609932">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948" w:type="dxa"/>
            <w:tcBorders>
              <w:top w:val="single" w:color="auto" w:sz="4" w:space="0"/>
              <w:left w:val="single" w:color="auto" w:sz="4" w:space="0"/>
              <w:bottom w:val="single" w:color="auto" w:sz="4" w:space="0"/>
              <w:right w:val="single" w:color="auto" w:sz="4" w:space="0"/>
            </w:tcBorders>
            <w:vAlign w:val="center"/>
          </w:tcPr>
          <w:p w14:paraId="195BC556">
            <w:pPr>
              <w:keepNext w:val="0"/>
              <w:keepLines w:val="0"/>
              <w:pageBreakBefore w:val="0"/>
              <w:wordWrap/>
              <w:topLinePunct w:val="0"/>
              <w:bidi w:val="0"/>
              <w:adjustRightInd/>
              <w:spacing w:line="400" w:lineRule="exact"/>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零散需求价格（2分）</w:t>
            </w:r>
          </w:p>
        </w:tc>
        <w:tc>
          <w:tcPr>
            <w:tcW w:w="7276" w:type="dxa"/>
            <w:tcBorders>
              <w:top w:val="single" w:color="auto" w:sz="4" w:space="0"/>
              <w:left w:val="single" w:color="auto" w:sz="4" w:space="0"/>
              <w:bottom w:val="single" w:color="auto" w:sz="4" w:space="0"/>
              <w:right w:val="single" w:color="auto" w:sz="4" w:space="0"/>
            </w:tcBorders>
            <w:vAlign w:val="center"/>
          </w:tcPr>
          <w:p w14:paraId="08BF8418">
            <w:pPr>
              <w:pStyle w:val="130"/>
              <w:keepNext w:val="0"/>
              <w:keepLines w:val="0"/>
              <w:pageBreakBefore w:val="0"/>
              <w:kinsoku w:val="0"/>
              <w:wordWrap/>
              <w:overflowPunct w:val="0"/>
              <w:topLinePunct w:val="0"/>
              <w:autoSpaceDE/>
              <w:autoSpaceDN/>
              <w:bidi w:val="0"/>
              <w:adjustRightInd/>
              <w:snapToGrid w:val="0"/>
              <w:spacing w:line="400" w:lineRule="exact"/>
              <w:textAlignment w:val="auto"/>
              <w:rPr>
                <w:rFonts w:hint="eastAsia" w:asciiTheme="minorEastAsia" w:hAnsiTheme="minorEastAsia" w:eastAsiaTheme="minorEastAsia" w:cstheme="minorEastAsia"/>
                <w:sz w:val="21"/>
                <w:szCs w:val="21"/>
                <w:highlight w:val="none"/>
                <w:lang w:val="en-US"/>
              </w:rPr>
            </w:pPr>
            <w:r>
              <w:rPr>
                <w:rFonts w:hint="eastAsia" w:asciiTheme="minorEastAsia" w:hAnsiTheme="minorEastAsia" w:eastAsiaTheme="minorEastAsia" w:cstheme="minorEastAsia"/>
                <w:sz w:val="21"/>
                <w:szCs w:val="21"/>
                <w:highlight w:val="none"/>
                <w:lang w:val="en-US"/>
              </w:rPr>
              <w:t>满足磋商文件要求且最后报价最低的投标人的价格作为磋商基准价，磋商基准价报价得分为</w:t>
            </w: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lang w:val="en-US"/>
              </w:rPr>
              <w:t>分。</w:t>
            </w:r>
          </w:p>
          <w:p w14:paraId="3689380E">
            <w:pPr>
              <w:pStyle w:val="130"/>
              <w:keepNext w:val="0"/>
              <w:keepLines w:val="0"/>
              <w:pageBreakBefore w:val="0"/>
              <w:kinsoku w:val="0"/>
              <w:wordWrap/>
              <w:overflowPunct w:val="0"/>
              <w:topLinePunct w:val="0"/>
              <w:bidi w:val="0"/>
              <w:adjustRightInd/>
              <w:spacing w:line="400" w:lineRule="exact"/>
              <w:textAlignment w:val="auto"/>
              <w:rPr>
                <w:rFonts w:hint="eastAsia" w:asciiTheme="minorEastAsia" w:hAnsiTheme="minorEastAsia" w:eastAsiaTheme="minorEastAsia" w:cstheme="minorEastAsia"/>
                <w:sz w:val="21"/>
                <w:szCs w:val="21"/>
                <w:highlight w:val="none"/>
                <w:lang w:val="en-US"/>
              </w:rPr>
            </w:pPr>
            <w:r>
              <w:rPr>
                <w:rFonts w:hint="eastAsia" w:asciiTheme="minorEastAsia" w:hAnsiTheme="minorEastAsia" w:eastAsiaTheme="minorEastAsia" w:cstheme="minorEastAsia"/>
                <w:sz w:val="21"/>
                <w:szCs w:val="21"/>
                <w:highlight w:val="none"/>
                <w:lang w:val="en-US"/>
              </w:rPr>
              <w:t>投标人磋商报价得分=（磋商基准价÷投标人的最后报价）×</w:t>
            </w: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lang w:val="en-US"/>
              </w:rPr>
              <w:t>分。</w:t>
            </w:r>
          </w:p>
        </w:tc>
      </w:tr>
      <w:tr w14:paraId="7022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2380" w:type="dxa"/>
            <w:gridSpan w:val="3"/>
            <w:tcBorders>
              <w:top w:val="single" w:color="auto" w:sz="4" w:space="0"/>
              <w:left w:val="single" w:color="auto" w:sz="4" w:space="0"/>
              <w:bottom w:val="single" w:color="auto" w:sz="4" w:space="0"/>
              <w:right w:val="single" w:color="auto" w:sz="4" w:space="0"/>
            </w:tcBorders>
            <w:vAlign w:val="center"/>
          </w:tcPr>
          <w:p w14:paraId="5F44533C">
            <w:pPr>
              <w:pStyle w:val="20"/>
              <w:keepNext w:val="0"/>
              <w:keepLines w:val="0"/>
              <w:pageBreakBefore w:val="0"/>
              <w:wordWrap/>
              <w:topLinePunct w:val="0"/>
              <w:bidi w:val="0"/>
              <w:adjustRightInd/>
              <w:spacing w:line="400" w:lineRule="exact"/>
              <w:ind w:firstLine="0"/>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
                <w:bCs/>
                <w:sz w:val="21"/>
                <w:szCs w:val="21"/>
                <w:highlight w:val="none"/>
              </w:rPr>
              <w:t>综合评审得分</w:t>
            </w:r>
          </w:p>
        </w:tc>
        <w:tc>
          <w:tcPr>
            <w:tcW w:w="7276" w:type="dxa"/>
            <w:tcBorders>
              <w:top w:val="single" w:color="auto" w:sz="4" w:space="0"/>
              <w:left w:val="single" w:color="auto" w:sz="4" w:space="0"/>
              <w:bottom w:val="single" w:color="auto" w:sz="4" w:space="0"/>
              <w:right w:val="single" w:color="auto" w:sz="4" w:space="0"/>
            </w:tcBorders>
            <w:vAlign w:val="center"/>
          </w:tcPr>
          <w:p w14:paraId="4AFE5793">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商务+技术+价格</w:t>
            </w:r>
          </w:p>
        </w:tc>
      </w:tr>
      <w:tr w14:paraId="7313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9656" w:type="dxa"/>
            <w:gridSpan w:val="4"/>
            <w:tcBorders>
              <w:top w:val="single" w:color="auto" w:sz="4" w:space="0"/>
              <w:left w:val="single" w:color="auto" w:sz="4" w:space="0"/>
              <w:bottom w:val="single" w:color="auto" w:sz="4" w:space="0"/>
              <w:right w:val="single" w:color="auto" w:sz="4" w:space="0"/>
            </w:tcBorders>
            <w:vAlign w:val="center"/>
          </w:tcPr>
          <w:p w14:paraId="5D82880B">
            <w:pPr>
              <w:pStyle w:val="28"/>
              <w:keepNext w:val="0"/>
              <w:keepLines w:val="0"/>
              <w:pageBreakBefore w:val="0"/>
              <w:wordWrap/>
              <w:topLinePunct w:val="0"/>
              <w:bidi w:val="0"/>
              <w:adjustRightInd/>
              <w:spacing w:line="400" w:lineRule="exact"/>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sz w:val="21"/>
                <w:szCs w:val="21"/>
                <w:highlight w:val="none"/>
              </w:rPr>
              <w:t>评审标准需要分档时，应由评委在评分前根据评审准则及响应文件集体讨论确定各投标企业的分档，然后在相应分档内独立打分。</w:t>
            </w:r>
          </w:p>
        </w:tc>
      </w:tr>
    </w:tbl>
    <w:p w14:paraId="0823C05E">
      <w:pPr>
        <w:rPr>
          <w:highlight w:val="none"/>
        </w:rPr>
        <w:sectPr>
          <w:pgSz w:w="11905" w:h="16838"/>
          <w:pgMar w:top="1417" w:right="1361" w:bottom="1417" w:left="1361" w:header="850" w:footer="992" w:gutter="0"/>
          <w:cols w:space="0" w:num="1"/>
          <w:rtlGutter w:val="0"/>
          <w:docGrid w:type="lines" w:linePitch="312" w:charSpace="0"/>
        </w:sectPr>
      </w:pPr>
    </w:p>
    <w:p w14:paraId="25E014EC">
      <w:pPr>
        <w:rPr>
          <w:highlight w:val="none"/>
        </w:rPr>
      </w:pPr>
    </w:p>
    <w:p w14:paraId="0017B9E5">
      <w:pPr>
        <w:pStyle w:val="8"/>
        <w:jc w:val="center"/>
        <w:rPr>
          <w:sz w:val="32"/>
          <w:szCs w:val="32"/>
          <w:highlight w:val="none"/>
        </w:rPr>
      </w:pPr>
    </w:p>
    <w:p w14:paraId="341B441F">
      <w:pPr>
        <w:rPr>
          <w:sz w:val="32"/>
          <w:szCs w:val="32"/>
          <w:highlight w:val="none"/>
        </w:rPr>
      </w:pPr>
    </w:p>
    <w:p w14:paraId="523382CC">
      <w:pPr>
        <w:pStyle w:val="4"/>
        <w:rPr>
          <w:highlight w:val="none"/>
        </w:rPr>
      </w:pPr>
    </w:p>
    <w:p w14:paraId="7CAE8A73">
      <w:pPr>
        <w:pStyle w:val="8"/>
        <w:jc w:val="center"/>
        <w:rPr>
          <w:sz w:val="32"/>
          <w:szCs w:val="32"/>
          <w:highlight w:val="none"/>
        </w:rPr>
      </w:pPr>
      <w:bookmarkStart w:id="206" w:name="_Toc20297"/>
      <w:bookmarkStart w:id="207" w:name="_Toc359"/>
      <w:bookmarkStart w:id="208" w:name="_Toc17176"/>
      <w:bookmarkStart w:id="209" w:name="_Toc273"/>
      <w:bookmarkStart w:id="210" w:name="_Toc31019"/>
      <w:bookmarkStart w:id="211" w:name="_Toc4158"/>
      <w:bookmarkStart w:id="212" w:name="_Toc21044"/>
      <w:bookmarkStart w:id="213" w:name="_Toc20094"/>
      <w:bookmarkStart w:id="214" w:name="_Toc2598"/>
      <w:bookmarkStart w:id="215" w:name="_Toc980"/>
      <w:bookmarkStart w:id="216" w:name="_Toc7676"/>
      <w:r>
        <w:rPr>
          <w:sz w:val="32"/>
          <w:szCs w:val="32"/>
          <w:highlight w:val="none"/>
        </w:rPr>
        <w:t>第五章  合同主要条款格式</w:t>
      </w:r>
      <w:bookmarkEnd w:id="183"/>
      <w:bookmarkEnd w:id="184"/>
      <w:bookmarkEnd w:id="185"/>
      <w:bookmarkEnd w:id="18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1582C2BB">
      <w:pPr>
        <w:snapToGrid w:val="0"/>
        <w:spacing w:line="400" w:lineRule="exact"/>
        <w:ind w:firstLine="3520" w:firstLineChars="1100"/>
        <w:jc w:val="left"/>
        <w:rPr>
          <w:sz w:val="32"/>
          <w:szCs w:val="32"/>
          <w:highlight w:val="none"/>
        </w:rPr>
      </w:pPr>
    </w:p>
    <w:p w14:paraId="4FF1CDFF">
      <w:pPr>
        <w:pStyle w:val="4"/>
        <w:kinsoku w:val="0"/>
        <w:overflowPunct w:val="0"/>
        <w:jc w:val="center"/>
        <w:rPr>
          <w:rFonts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sz w:val="32"/>
          <w:szCs w:val="32"/>
          <w:highlight w:val="none"/>
        </w:rPr>
        <w:t>合同协议书、合同总条款及附件</w:t>
      </w:r>
    </w:p>
    <w:p w14:paraId="5BBBF6A0">
      <w:pPr>
        <w:jc w:val="center"/>
        <w:rPr>
          <w:highlight w:val="none"/>
        </w:rPr>
      </w:pPr>
      <w:r>
        <w:rPr>
          <w:rFonts w:hint="eastAsia" w:asciiTheme="minorEastAsia" w:hAnsiTheme="minorEastAsia" w:eastAsiaTheme="minorEastAsia" w:cstheme="minorEastAsia"/>
          <w:b/>
          <w:bCs/>
          <w:sz w:val="32"/>
          <w:szCs w:val="32"/>
          <w:highlight w:val="none"/>
        </w:rPr>
        <w:t>（本采购合同由采购人与中标供应商按照采购和投标文件协商签订，签订的合同实质性条款不得与采购文件和投标文件相违背）</w:t>
      </w:r>
    </w:p>
    <w:p w14:paraId="2046A597">
      <w:pPr>
        <w:spacing w:line="360" w:lineRule="exact"/>
        <w:ind w:firstLine="480" w:firstLineChars="200"/>
        <w:rPr>
          <w:rFonts w:ascii="宋体" w:hAnsi="宋体"/>
          <w:color w:val="000000" w:themeColor="text1"/>
          <w:sz w:val="24"/>
          <w:highlight w:val="none"/>
          <w14:textFill>
            <w14:solidFill>
              <w14:schemeClr w14:val="tx1"/>
            </w14:solidFill>
          </w14:textFill>
        </w:rPr>
      </w:pPr>
    </w:p>
    <w:p w14:paraId="32A8C992">
      <w:pPr>
        <w:pStyle w:val="2"/>
        <w:rPr>
          <w:highlight w:val="none"/>
        </w:rPr>
        <w:sectPr>
          <w:pgSz w:w="11905" w:h="16838"/>
          <w:pgMar w:top="1417" w:right="1361" w:bottom="1417" w:left="1361" w:header="850" w:footer="992" w:gutter="0"/>
          <w:cols w:space="0" w:num="1"/>
          <w:rtlGutter w:val="0"/>
          <w:docGrid w:type="lines" w:linePitch="312" w:charSpace="0"/>
        </w:sectPr>
      </w:pPr>
    </w:p>
    <w:p w14:paraId="35223C2A">
      <w:pPr>
        <w:pStyle w:val="8"/>
        <w:jc w:val="center"/>
        <w:rPr>
          <w:bCs w:val="0"/>
          <w:szCs w:val="24"/>
          <w:highlight w:val="none"/>
        </w:rPr>
      </w:pPr>
      <w:bookmarkStart w:id="217" w:name="_Toc18601"/>
      <w:bookmarkStart w:id="218" w:name="_Toc22934"/>
      <w:bookmarkStart w:id="219" w:name="_Toc9539"/>
      <w:bookmarkStart w:id="220" w:name="_Toc23028"/>
      <w:bookmarkStart w:id="221" w:name="_Toc24503"/>
      <w:bookmarkStart w:id="222" w:name="_Toc10261"/>
      <w:bookmarkStart w:id="223" w:name="_Toc9251"/>
      <w:bookmarkStart w:id="224" w:name="_Toc13735"/>
      <w:bookmarkStart w:id="225" w:name="_Toc30065"/>
      <w:bookmarkStart w:id="226" w:name="_Toc31154"/>
      <w:bookmarkStart w:id="227" w:name="_Toc32367"/>
      <w:bookmarkStart w:id="228" w:name="_Toc315"/>
      <w:bookmarkStart w:id="229" w:name="_Toc14092"/>
      <w:bookmarkStart w:id="230" w:name="_Toc4453"/>
      <w:bookmarkStart w:id="231" w:name="_Toc25702"/>
      <w:bookmarkStart w:id="232" w:name="_Toc12383"/>
      <w:bookmarkStart w:id="233" w:name="_Toc8818"/>
      <w:bookmarkStart w:id="234" w:name="_Toc9517"/>
      <w:bookmarkStart w:id="235" w:name="_Toc4755"/>
      <w:bookmarkStart w:id="236" w:name="_Toc31663"/>
      <w:bookmarkStart w:id="237" w:name="_Toc25398"/>
      <w:bookmarkStart w:id="238" w:name="_Toc4308"/>
      <w:bookmarkStart w:id="239" w:name="_Toc1038"/>
      <w:bookmarkStart w:id="240" w:name="_Toc14835"/>
      <w:r>
        <w:rPr>
          <w:sz w:val="32"/>
          <w:szCs w:val="32"/>
          <w:highlight w:val="none"/>
        </w:rPr>
        <w:t>第六章  响应文件格式</w:t>
      </w:r>
      <w:bookmarkEnd w:id="126"/>
      <w:bookmarkEnd w:id="127"/>
      <w:bookmarkEnd w:id="128"/>
      <w:bookmarkEnd w:id="129"/>
      <w:bookmarkEnd w:id="130"/>
      <w:bookmarkEnd w:id="131"/>
      <w:bookmarkEnd w:id="132"/>
      <w:bookmarkEnd w:id="133"/>
      <w:bookmarkEnd w:id="134"/>
      <w:bookmarkEnd w:id="135"/>
      <w:bookmarkEnd w:id="136"/>
      <w:bookmarkEnd w:id="187"/>
      <w:bookmarkEnd w:id="188"/>
      <w:bookmarkEnd w:id="189"/>
      <w:bookmarkEnd w:id="190"/>
      <w:bookmarkEnd w:id="191"/>
      <w:bookmarkEnd w:id="192"/>
      <w:bookmarkEnd w:id="193"/>
      <w:bookmarkEnd w:id="194"/>
      <w:bookmarkEnd w:id="195"/>
      <w:bookmarkEnd w:id="19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Pr>
          <w:bCs w:val="0"/>
          <w:szCs w:val="24"/>
          <w:highlight w:val="none"/>
        </w:rPr>
        <w:t xml:space="preserve">                  </w:t>
      </w:r>
    </w:p>
    <w:p w14:paraId="4146ED19">
      <w:pPr>
        <w:rPr>
          <w:b/>
          <w:sz w:val="24"/>
          <w:highlight w:val="none"/>
        </w:rPr>
      </w:pPr>
      <w:r>
        <w:rPr>
          <w:b/>
          <w:sz w:val="24"/>
          <w:highlight w:val="none"/>
        </w:rPr>
        <w:t xml:space="preserve">响应文件封面格式： </w:t>
      </w:r>
    </w:p>
    <w:p w14:paraId="42378AD6">
      <w:pPr>
        <w:snapToGrid w:val="0"/>
        <w:spacing w:before="156" w:beforeLines="50" w:after="50" w:line="360" w:lineRule="exact"/>
        <w:rPr>
          <w:sz w:val="24"/>
          <w:highlight w:val="none"/>
        </w:rPr>
      </w:pPr>
    </w:p>
    <w:p w14:paraId="26C1384F">
      <w:pPr>
        <w:snapToGrid w:val="0"/>
        <w:spacing w:before="156" w:beforeLines="50" w:after="50" w:line="360" w:lineRule="exact"/>
        <w:jc w:val="right"/>
        <w:rPr>
          <w:bCs/>
          <w:sz w:val="24"/>
          <w:highlight w:val="none"/>
        </w:rPr>
      </w:pPr>
      <w:r>
        <w:rPr>
          <w:b/>
          <w:sz w:val="24"/>
          <w:highlight w:val="none"/>
        </w:rPr>
        <w:t>正本</w:t>
      </w:r>
    </w:p>
    <w:p w14:paraId="67BADE97">
      <w:pPr>
        <w:snapToGrid w:val="0"/>
        <w:spacing w:before="156" w:beforeLines="50" w:after="50" w:line="360" w:lineRule="exact"/>
        <w:jc w:val="center"/>
        <w:rPr>
          <w:bCs/>
          <w:sz w:val="24"/>
          <w:highlight w:val="none"/>
        </w:rPr>
      </w:pPr>
    </w:p>
    <w:p w14:paraId="3955E444">
      <w:pPr>
        <w:snapToGrid w:val="0"/>
        <w:spacing w:before="156" w:beforeLines="50" w:after="50" w:line="360" w:lineRule="exact"/>
        <w:jc w:val="center"/>
        <w:rPr>
          <w:b/>
          <w:bCs/>
          <w:sz w:val="44"/>
          <w:szCs w:val="44"/>
          <w:highlight w:val="none"/>
        </w:rPr>
      </w:pPr>
      <w:r>
        <w:rPr>
          <w:b/>
          <w:bCs/>
          <w:sz w:val="44"/>
          <w:szCs w:val="44"/>
          <w:highlight w:val="none"/>
        </w:rPr>
        <w:t>响应文件</w:t>
      </w:r>
    </w:p>
    <w:p w14:paraId="7949F71E">
      <w:pPr>
        <w:snapToGrid w:val="0"/>
        <w:spacing w:before="156" w:beforeLines="50" w:after="50" w:line="360" w:lineRule="exact"/>
        <w:rPr>
          <w:bCs/>
          <w:sz w:val="24"/>
          <w:highlight w:val="none"/>
        </w:rPr>
      </w:pPr>
    </w:p>
    <w:p w14:paraId="257C4672">
      <w:pPr>
        <w:snapToGrid w:val="0"/>
        <w:spacing w:before="156" w:beforeLines="50" w:after="50" w:line="360" w:lineRule="exact"/>
        <w:ind w:firstLine="720" w:firstLineChars="300"/>
        <w:rPr>
          <w:bCs/>
          <w:sz w:val="24"/>
          <w:highlight w:val="none"/>
        </w:rPr>
      </w:pPr>
      <w:r>
        <w:rPr>
          <w:bCs/>
          <w:sz w:val="24"/>
          <w:highlight w:val="none"/>
        </w:rPr>
        <w:t xml:space="preserve">项目名称： </w:t>
      </w:r>
    </w:p>
    <w:p w14:paraId="11D3E44A">
      <w:pPr>
        <w:snapToGrid w:val="0"/>
        <w:spacing w:before="156" w:beforeLines="50" w:after="50" w:line="360" w:lineRule="exact"/>
        <w:ind w:firstLine="720" w:firstLineChars="300"/>
        <w:rPr>
          <w:bCs/>
          <w:sz w:val="24"/>
          <w:highlight w:val="none"/>
        </w:rPr>
      </w:pPr>
      <w:r>
        <w:rPr>
          <w:bCs/>
          <w:sz w:val="24"/>
          <w:highlight w:val="none"/>
        </w:rPr>
        <w:t xml:space="preserve">项目编号： </w:t>
      </w:r>
    </w:p>
    <w:p w14:paraId="16BB4AA8">
      <w:pPr>
        <w:snapToGrid w:val="0"/>
        <w:spacing w:before="156" w:beforeLines="50" w:after="50" w:line="360" w:lineRule="exact"/>
        <w:ind w:firstLine="720" w:firstLineChars="300"/>
        <w:rPr>
          <w:bCs/>
          <w:sz w:val="24"/>
          <w:highlight w:val="none"/>
        </w:rPr>
      </w:pPr>
      <w:r>
        <w:rPr>
          <w:rFonts w:hint="eastAsia"/>
          <w:bCs/>
          <w:sz w:val="24"/>
          <w:highlight w:val="none"/>
        </w:rPr>
        <w:t>投标人</w:t>
      </w:r>
      <w:r>
        <w:rPr>
          <w:bCs/>
          <w:sz w:val="24"/>
          <w:highlight w:val="none"/>
        </w:rPr>
        <w:t>（公章）：</w:t>
      </w:r>
    </w:p>
    <w:p w14:paraId="36C57A8C">
      <w:pPr>
        <w:pStyle w:val="20"/>
        <w:snapToGrid w:val="0"/>
        <w:spacing w:before="50" w:after="50" w:line="360" w:lineRule="exact"/>
        <w:ind w:firstLine="960" w:firstLineChars="400"/>
        <w:rPr>
          <w:bCs/>
          <w:sz w:val="24"/>
          <w:szCs w:val="24"/>
          <w:highlight w:val="none"/>
        </w:rPr>
      </w:pPr>
    </w:p>
    <w:p w14:paraId="459B084D">
      <w:pPr>
        <w:pStyle w:val="20"/>
        <w:snapToGrid w:val="0"/>
        <w:spacing w:before="50" w:after="50" w:line="360" w:lineRule="exact"/>
        <w:ind w:firstLine="960" w:firstLineChars="400"/>
        <w:rPr>
          <w:bCs/>
          <w:sz w:val="24"/>
          <w:szCs w:val="24"/>
          <w:highlight w:val="none"/>
        </w:rPr>
      </w:pPr>
    </w:p>
    <w:p w14:paraId="67663A70">
      <w:pPr>
        <w:snapToGrid w:val="0"/>
        <w:spacing w:before="156" w:beforeLines="50" w:after="50" w:line="360" w:lineRule="exact"/>
        <w:jc w:val="center"/>
        <w:rPr>
          <w:sz w:val="24"/>
          <w:highlight w:val="none"/>
        </w:rPr>
      </w:pPr>
      <w:r>
        <w:rPr>
          <w:sz w:val="24"/>
          <w:highlight w:val="none"/>
        </w:rPr>
        <w:t xml:space="preserve">                        年  月  日</w:t>
      </w:r>
    </w:p>
    <w:p w14:paraId="318B088D">
      <w:pPr>
        <w:snapToGrid w:val="0"/>
        <w:spacing w:before="156" w:beforeLines="50" w:after="50" w:line="440" w:lineRule="exact"/>
        <w:rPr>
          <w:sz w:val="24"/>
          <w:highlight w:val="none"/>
        </w:rPr>
      </w:pPr>
      <w:r>
        <w:rPr>
          <w:sz w:val="24"/>
          <w:highlight w:val="none"/>
        </w:rPr>
        <w:br w:type="page"/>
      </w:r>
    </w:p>
    <w:p w14:paraId="37F54FC2">
      <w:pPr>
        <w:snapToGrid w:val="0"/>
        <w:spacing w:before="156" w:beforeLines="50" w:after="50" w:line="440" w:lineRule="exact"/>
        <w:jc w:val="center"/>
        <w:rPr>
          <w:b/>
          <w:sz w:val="24"/>
          <w:highlight w:val="none"/>
        </w:rPr>
      </w:pPr>
      <w:r>
        <w:rPr>
          <w:rFonts w:hint="eastAsia"/>
          <w:b/>
          <w:sz w:val="24"/>
          <w:highlight w:val="none"/>
        </w:rPr>
        <w:t>评分索引</w:t>
      </w:r>
    </w:p>
    <w:tbl>
      <w:tblPr>
        <w:tblStyle w:val="42"/>
        <w:tblW w:w="10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2"/>
        <w:gridCol w:w="885"/>
        <w:gridCol w:w="765"/>
        <w:gridCol w:w="7027"/>
        <w:gridCol w:w="975"/>
      </w:tblGrid>
      <w:tr w14:paraId="479C1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552" w:type="dxa"/>
            <w:tcBorders>
              <w:top w:val="single" w:color="auto" w:sz="4" w:space="0"/>
              <w:left w:val="single" w:color="auto" w:sz="4" w:space="0"/>
              <w:bottom w:val="single" w:color="auto" w:sz="4" w:space="0"/>
              <w:right w:val="single" w:color="auto" w:sz="4" w:space="0"/>
            </w:tcBorders>
            <w:vAlign w:val="center"/>
          </w:tcPr>
          <w:p w14:paraId="33A125AF">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highlight w:val="none"/>
              </w:rPr>
              <w:t>条款号</w:t>
            </w:r>
          </w:p>
        </w:tc>
        <w:tc>
          <w:tcPr>
            <w:tcW w:w="1650" w:type="dxa"/>
            <w:gridSpan w:val="2"/>
            <w:tcBorders>
              <w:top w:val="single" w:color="auto" w:sz="4" w:space="0"/>
              <w:left w:val="single" w:color="auto" w:sz="4" w:space="0"/>
              <w:bottom w:val="single" w:color="auto" w:sz="4" w:space="0"/>
              <w:right w:val="single" w:color="auto" w:sz="4" w:space="0"/>
            </w:tcBorders>
            <w:vAlign w:val="center"/>
          </w:tcPr>
          <w:p w14:paraId="207E9854">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评审因素</w:t>
            </w:r>
          </w:p>
        </w:tc>
        <w:tc>
          <w:tcPr>
            <w:tcW w:w="7027" w:type="dxa"/>
            <w:tcBorders>
              <w:top w:val="single" w:color="auto" w:sz="4" w:space="0"/>
              <w:left w:val="single" w:color="auto" w:sz="4" w:space="0"/>
              <w:bottom w:val="single" w:color="auto" w:sz="4" w:space="0"/>
              <w:right w:val="single" w:color="auto" w:sz="4" w:space="0"/>
            </w:tcBorders>
            <w:vAlign w:val="center"/>
          </w:tcPr>
          <w:p w14:paraId="64144E04">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评审标准</w:t>
            </w:r>
          </w:p>
        </w:tc>
        <w:tc>
          <w:tcPr>
            <w:tcW w:w="975" w:type="dxa"/>
            <w:tcBorders>
              <w:top w:val="single" w:color="auto" w:sz="4" w:space="0"/>
              <w:left w:val="single" w:color="auto" w:sz="4" w:space="0"/>
              <w:bottom w:val="single" w:color="auto" w:sz="4" w:space="0"/>
              <w:right w:val="single" w:color="auto" w:sz="4" w:space="0"/>
            </w:tcBorders>
            <w:vAlign w:val="center"/>
          </w:tcPr>
          <w:p w14:paraId="579D155E">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highlight w:val="none"/>
              </w:rPr>
              <w:t>投标文件所在页码</w:t>
            </w:r>
          </w:p>
        </w:tc>
      </w:tr>
      <w:tr w14:paraId="392B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52" w:type="dxa"/>
            <w:vMerge w:val="restart"/>
            <w:tcBorders>
              <w:top w:val="single" w:color="auto" w:sz="4" w:space="0"/>
              <w:left w:val="single" w:color="auto" w:sz="4" w:space="0"/>
              <w:right w:val="single" w:color="auto" w:sz="4" w:space="0"/>
            </w:tcBorders>
            <w:vAlign w:val="center"/>
          </w:tcPr>
          <w:p w14:paraId="492542A1">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1</w:t>
            </w:r>
          </w:p>
        </w:tc>
        <w:tc>
          <w:tcPr>
            <w:tcW w:w="885" w:type="dxa"/>
            <w:vMerge w:val="restart"/>
            <w:tcBorders>
              <w:top w:val="single" w:color="auto" w:sz="4" w:space="0"/>
              <w:left w:val="single" w:color="auto" w:sz="4" w:space="0"/>
              <w:right w:val="single" w:color="auto" w:sz="4" w:space="0"/>
            </w:tcBorders>
            <w:vAlign w:val="center"/>
          </w:tcPr>
          <w:p w14:paraId="572A309A">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商务</w:t>
            </w:r>
          </w:p>
          <w:p w14:paraId="0C5313D7">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16</w:t>
            </w:r>
            <w:r>
              <w:rPr>
                <w:rFonts w:hint="eastAsia" w:asciiTheme="minorEastAsia" w:hAnsiTheme="minorEastAsia" w:eastAsiaTheme="minorEastAsia" w:cstheme="minorEastAsia"/>
                <w:bCs/>
                <w:sz w:val="21"/>
                <w:szCs w:val="21"/>
                <w:highlight w:val="none"/>
              </w:rPr>
              <w:t>分）</w:t>
            </w:r>
          </w:p>
        </w:tc>
        <w:tc>
          <w:tcPr>
            <w:tcW w:w="765" w:type="dxa"/>
            <w:tcBorders>
              <w:top w:val="single" w:color="auto" w:sz="4" w:space="0"/>
              <w:left w:val="single" w:color="auto" w:sz="4" w:space="0"/>
              <w:bottom w:val="single" w:color="auto" w:sz="4" w:space="0"/>
              <w:right w:val="single" w:color="auto" w:sz="4" w:space="0"/>
            </w:tcBorders>
            <w:vAlign w:val="center"/>
          </w:tcPr>
          <w:p w14:paraId="6DAEEF12">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业绩</w:t>
            </w:r>
          </w:p>
          <w:p w14:paraId="16F02D86">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10</w:t>
            </w:r>
            <w:r>
              <w:rPr>
                <w:rFonts w:hint="eastAsia" w:asciiTheme="minorEastAsia" w:hAnsiTheme="minorEastAsia" w:eastAsiaTheme="minorEastAsia" w:cstheme="minorEastAsia"/>
                <w:bCs/>
                <w:sz w:val="21"/>
                <w:szCs w:val="21"/>
                <w:highlight w:val="none"/>
              </w:rPr>
              <w:t>分）</w:t>
            </w:r>
          </w:p>
        </w:tc>
        <w:tc>
          <w:tcPr>
            <w:tcW w:w="7027" w:type="dxa"/>
            <w:tcBorders>
              <w:top w:val="single" w:color="auto" w:sz="4" w:space="0"/>
              <w:left w:val="single" w:color="auto" w:sz="4" w:space="0"/>
              <w:bottom w:val="single" w:color="auto" w:sz="4" w:space="0"/>
              <w:right w:val="single" w:color="auto" w:sz="4" w:space="0"/>
            </w:tcBorders>
            <w:vAlign w:val="center"/>
          </w:tcPr>
          <w:p w14:paraId="60595E78">
            <w:pPr>
              <w:pStyle w:val="28"/>
              <w:keepNext w:val="0"/>
              <w:keepLines w:val="0"/>
              <w:pageBreakBefore w:val="0"/>
              <w:kinsoku/>
              <w:wordWrap/>
              <w:overflowPunct/>
              <w:topLinePunct w:val="0"/>
              <w:autoSpaceDE/>
              <w:autoSpaceDN/>
              <w:bidi w:val="0"/>
              <w:adjustRightInd/>
              <w:snapToGrid/>
              <w:spacing w:line="380" w:lineRule="exact"/>
              <w:jc w:val="both"/>
              <w:textAlignment w:val="auto"/>
              <w:rPr>
                <w:rFonts w:hint="default"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投标人自2020年1月1日以来完成过的</w:t>
            </w:r>
            <w:r>
              <w:rPr>
                <w:rFonts w:hint="eastAsia" w:hAnsi="宋体" w:eastAsia="宋体" w:cs="宋体"/>
                <w:bCs/>
                <w:sz w:val="21"/>
                <w:szCs w:val="21"/>
                <w:highlight w:val="none"/>
                <w:lang w:val="en-US" w:eastAsia="zh-CN"/>
              </w:rPr>
              <w:t>“</w:t>
            </w:r>
            <w:r>
              <w:rPr>
                <w:rFonts w:hint="eastAsia" w:ascii="宋体" w:hAnsi="宋体" w:eastAsia="宋体" w:cs="宋体"/>
                <w:bCs/>
                <w:sz w:val="21"/>
                <w:szCs w:val="21"/>
                <w:highlight w:val="none"/>
                <w:lang w:val="en-US" w:eastAsia="zh-CN"/>
              </w:rPr>
              <w:t>大模型</w:t>
            </w:r>
            <w:r>
              <w:rPr>
                <w:rFonts w:hint="eastAsia" w:hAnsi="宋体" w:eastAsia="宋体" w:cs="宋体"/>
                <w:bCs/>
                <w:sz w:val="21"/>
                <w:szCs w:val="21"/>
                <w:highlight w:val="none"/>
                <w:lang w:val="en-US" w:eastAsia="zh-CN"/>
              </w:rPr>
              <w:t>”或“</w:t>
            </w:r>
            <w:r>
              <w:rPr>
                <w:rFonts w:hint="eastAsia" w:ascii="宋体" w:hAnsi="宋体" w:eastAsia="宋体" w:cs="宋体"/>
                <w:bCs/>
                <w:sz w:val="21"/>
                <w:szCs w:val="21"/>
                <w:highlight w:val="none"/>
                <w:lang w:val="en-US" w:eastAsia="zh-CN"/>
              </w:rPr>
              <w:t>智能体</w:t>
            </w:r>
            <w:r>
              <w:rPr>
                <w:rFonts w:hint="eastAsia" w:hAnsi="宋体" w:eastAsia="宋体" w:cs="宋体"/>
                <w:bCs/>
                <w:sz w:val="21"/>
                <w:szCs w:val="21"/>
                <w:highlight w:val="none"/>
                <w:lang w:val="en-US" w:eastAsia="zh-CN"/>
              </w:rPr>
              <w:t>”</w:t>
            </w:r>
            <w:r>
              <w:rPr>
                <w:rFonts w:hint="eastAsia" w:ascii="宋体" w:hAnsi="宋体" w:eastAsia="宋体" w:cs="宋体"/>
                <w:bCs/>
                <w:sz w:val="21"/>
                <w:szCs w:val="21"/>
                <w:highlight w:val="none"/>
                <w:lang w:val="en-US" w:eastAsia="zh-CN"/>
              </w:rPr>
              <w:t>或</w:t>
            </w:r>
            <w:r>
              <w:rPr>
                <w:rFonts w:hint="eastAsia" w:hAnsi="宋体" w:eastAsia="宋体" w:cs="宋体"/>
                <w:bCs/>
                <w:sz w:val="21"/>
                <w:szCs w:val="21"/>
                <w:highlight w:val="none"/>
                <w:lang w:val="en-US" w:eastAsia="zh-CN"/>
              </w:rPr>
              <w:t>“</w:t>
            </w:r>
            <w:r>
              <w:rPr>
                <w:rFonts w:hint="eastAsia" w:ascii="宋体" w:hAnsi="宋体" w:eastAsia="宋体" w:cs="宋体"/>
                <w:bCs/>
                <w:sz w:val="21"/>
                <w:szCs w:val="21"/>
                <w:highlight w:val="none"/>
                <w:lang w:val="en-US" w:eastAsia="zh-CN"/>
              </w:rPr>
              <w:t>AI</w:t>
            </w:r>
            <w:r>
              <w:rPr>
                <w:rFonts w:hint="eastAsia" w:hAnsi="宋体" w:eastAsia="宋体" w:cs="宋体"/>
                <w:bCs/>
                <w:sz w:val="21"/>
                <w:szCs w:val="21"/>
                <w:highlight w:val="none"/>
                <w:lang w:val="en-US" w:eastAsia="zh-CN"/>
              </w:rPr>
              <w:t>”</w:t>
            </w:r>
            <w:r>
              <w:rPr>
                <w:rFonts w:hint="eastAsia" w:ascii="宋体" w:hAnsi="宋体" w:eastAsia="宋体" w:cs="宋体"/>
                <w:bCs/>
                <w:sz w:val="21"/>
                <w:szCs w:val="21"/>
                <w:highlight w:val="none"/>
                <w:lang w:val="en-US" w:eastAsia="zh-CN"/>
              </w:rPr>
              <w:t>项目业绩，每提供一份符合条件的合同得1分，满分</w:t>
            </w:r>
            <w:r>
              <w:rPr>
                <w:rFonts w:hint="eastAsia" w:hAnsi="宋体" w:eastAsia="宋体" w:cs="宋体"/>
                <w:bCs/>
                <w:sz w:val="21"/>
                <w:szCs w:val="21"/>
                <w:highlight w:val="none"/>
                <w:lang w:val="en-US" w:eastAsia="zh-CN"/>
              </w:rPr>
              <w:t>10</w:t>
            </w:r>
            <w:r>
              <w:rPr>
                <w:rFonts w:hint="eastAsia" w:ascii="宋体" w:hAnsi="宋体" w:eastAsia="宋体" w:cs="宋体"/>
                <w:bCs/>
                <w:sz w:val="21"/>
                <w:szCs w:val="21"/>
                <w:highlight w:val="none"/>
                <w:lang w:val="en-US" w:eastAsia="zh-CN"/>
              </w:rPr>
              <w:t>分。</w:t>
            </w:r>
          </w:p>
          <w:p w14:paraId="4BA8DA96">
            <w:pPr>
              <w:keepNext w:val="0"/>
              <w:keepLines w:val="0"/>
              <w:pageBreakBefore w:val="0"/>
              <w:widowControl w:val="0"/>
              <w:kinsoku w:val="0"/>
              <w:wordWrap/>
              <w:overflowPunct w:val="0"/>
              <w:topLinePunct w:val="0"/>
              <w:autoSpaceDE/>
              <w:autoSpaceDN/>
              <w:bidi w:val="0"/>
              <w:adjustRightInd/>
              <w:snapToGrid/>
              <w:spacing w:line="400" w:lineRule="exact"/>
              <w:textAlignment w:val="auto"/>
              <w:rPr>
                <w:rFonts w:hint="eastAsia" w:asciiTheme="minorEastAsia" w:hAnsiTheme="minorEastAsia" w:eastAsiaTheme="minorEastAsia" w:cstheme="minorEastAsia"/>
                <w:bCs/>
                <w:sz w:val="21"/>
                <w:szCs w:val="21"/>
                <w:highlight w:val="none"/>
              </w:rPr>
            </w:pPr>
            <w:r>
              <w:rPr>
                <w:rFonts w:hint="eastAsia" w:ascii="宋体" w:hAnsi="宋体" w:eastAsia="宋体" w:cs="宋体"/>
                <w:bCs/>
                <w:sz w:val="21"/>
                <w:szCs w:val="21"/>
                <w:highlight w:val="none"/>
                <w:lang w:val="en-US" w:eastAsia="zh-CN"/>
              </w:rPr>
              <w:t>合同以签订时间为准，能清晰反映项目名称、合同执行时间及合同双方盖章等内容，如有缺漏，视为无效业绩。提供合同复印件并加盖投标人公章。</w:t>
            </w:r>
          </w:p>
        </w:tc>
        <w:tc>
          <w:tcPr>
            <w:tcW w:w="975" w:type="dxa"/>
            <w:tcBorders>
              <w:top w:val="single" w:color="auto" w:sz="4" w:space="0"/>
              <w:left w:val="single" w:color="auto" w:sz="4" w:space="0"/>
              <w:bottom w:val="single" w:color="auto" w:sz="4" w:space="0"/>
              <w:right w:val="single" w:color="auto" w:sz="4" w:space="0"/>
            </w:tcBorders>
            <w:vAlign w:val="center"/>
          </w:tcPr>
          <w:p w14:paraId="798FE653">
            <w:pPr>
              <w:keepNext w:val="0"/>
              <w:keepLines w:val="0"/>
              <w:pageBreakBefore w:val="0"/>
              <w:widowControl w:val="0"/>
              <w:kinsoku w:val="0"/>
              <w:wordWrap/>
              <w:overflowPunct w:val="0"/>
              <w:topLinePunct w:val="0"/>
              <w:autoSpaceDE/>
              <w:autoSpaceDN/>
              <w:bidi w:val="0"/>
              <w:adjustRightInd/>
              <w:snapToGrid/>
              <w:spacing w:line="400" w:lineRule="exact"/>
              <w:textAlignment w:val="auto"/>
              <w:rPr>
                <w:rFonts w:hint="eastAsia" w:ascii="宋体" w:hAnsi="宋体" w:eastAsia="宋体" w:cs="宋体"/>
                <w:bCs/>
                <w:sz w:val="21"/>
                <w:szCs w:val="21"/>
                <w:highlight w:val="none"/>
                <w:lang w:val="en-US" w:eastAsia="zh-CN"/>
              </w:rPr>
            </w:pPr>
          </w:p>
        </w:tc>
      </w:tr>
      <w:tr w14:paraId="788E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52" w:type="dxa"/>
            <w:vMerge w:val="continue"/>
            <w:tcBorders>
              <w:left w:val="single" w:color="auto" w:sz="4" w:space="0"/>
              <w:right w:val="single" w:color="auto" w:sz="4" w:space="0"/>
            </w:tcBorders>
            <w:vAlign w:val="center"/>
          </w:tcPr>
          <w:p w14:paraId="6AFEEC35">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885" w:type="dxa"/>
            <w:vMerge w:val="continue"/>
            <w:tcBorders>
              <w:left w:val="single" w:color="auto" w:sz="4" w:space="0"/>
              <w:right w:val="single" w:color="auto" w:sz="4" w:space="0"/>
            </w:tcBorders>
            <w:vAlign w:val="center"/>
          </w:tcPr>
          <w:p w14:paraId="4621B70E">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1B4BAA1">
            <w:pPr>
              <w:pStyle w:val="130"/>
              <w:keepNext w:val="0"/>
              <w:keepLines w:val="0"/>
              <w:pageBreakBefore w:val="0"/>
              <w:widowControl w:val="0"/>
              <w:kinsoku w:val="0"/>
              <w:wordWrap/>
              <w:overflowPunct w:val="0"/>
              <w:topLinePunct w:val="0"/>
              <w:autoSpaceDE w:val="0"/>
              <w:autoSpaceDN w:val="0"/>
              <w:bidi w:val="0"/>
              <w:adjustRightInd/>
              <w:snapToGri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企业资质</w:t>
            </w:r>
          </w:p>
          <w:p w14:paraId="5E1824AE">
            <w:pPr>
              <w:pStyle w:val="130"/>
              <w:keepNext w:val="0"/>
              <w:keepLines w:val="0"/>
              <w:pageBreakBefore w:val="0"/>
              <w:widowControl w:val="0"/>
              <w:kinsoku w:val="0"/>
              <w:wordWrap/>
              <w:overflowPunct w:val="0"/>
              <w:topLinePunct w:val="0"/>
              <w:autoSpaceDE w:val="0"/>
              <w:autoSpaceDN w:val="0"/>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lang w:val="zh-CN" w:eastAsia="zh-CN" w:bidi="zh-CN"/>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rPr>
              <w:t>分）</w:t>
            </w:r>
          </w:p>
        </w:tc>
        <w:tc>
          <w:tcPr>
            <w:tcW w:w="7027" w:type="dxa"/>
            <w:tcBorders>
              <w:top w:val="single" w:color="auto" w:sz="4" w:space="0"/>
              <w:left w:val="single" w:color="auto" w:sz="4" w:space="0"/>
              <w:bottom w:val="single" w:color="auto" w:sz="4" w:space="0"/>
              <w:right w:val="single" w:color="auto" w:sz="4" w:space="0"/>
            </w:tcBorders>
            <w:shd w:val="clear" w:color="auto" w:fill="auto"/>
            <w:vAlign w:val="center"/>
          </w:tcPr>
          <w:p w14:paraId="52EABF4F">
            <w:pPr>
              <w:pStyle w:val="4"/>
              <w:keepNext w:val="0"/>
              <w:keepLines w:val="0"/>
              <w:pageBreakBefore w:val="0"/>
              <w:wordWrap/>
              <w:topLinePunct w:val="0"/>
              <w:autoSpaceDE/>
              <w:autoSpaceDN/>
              <w:bidi w:val="0"/>
              <w:spacing w:after="0" w:line="380" w:lineRule="exact"/>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提供ISO20000或ISO27001体系认证、ISO9001质量体系认证证书、</w:t>
            </w:r>
            <w:r>
              <w:rPr>
                <w:rFonts w:hint="eastAsia" w:ascii="宋体" w:hAnsi="宋体" w:eastAsia="宋体" w:cs="宋体"/>
                <w:sz w:val="21"/>
                <w:szCs w:val="21"/>
                <w:highlight w:val="none"/>
                <w:lang w:val="en-US" w:eastAsia="zh-CN"/>
              </w:rPr>
              <w:t>ISO22301业务连续性管理体系认证证书、IS</w:t>
            </w:r>
            <w:r>
              <w:rPr>
                <w:rFonts w:hint="eastAsia" w:ascii="宋体" w:hAnsi="宋体" w:cs="宋体"/>
                <w:sz w:val="21"/>
                <w:szCs w:val="21"/>
                <w:highlight w:val="none"/>
                <w:lang w:val="en-US" w:eastAsia="zh-CN"/>
              </w:rPr>
              <w:t>O</w:t>
            </w:r>
            <w:r>
              <w:rPr>
                <w:rFonts w:hint="eastAsia" w:ascii="宋体" w:hAnsi="宋体" w:eastAsia="宋体" w:cs="宋体"/>
                <w:sz w:val="21"/>
                <w:szCs w:val="21"/>
                <w:highlight w:val="none"/>
                <w:lang w:val="en-US" w:eastAsia="zh-CN"/>
              </w:rPr>
              <w:t>27701隐私信息管理体系证书、国产化信息系统集成和服务能力等级证书(LS证书) 、信息系统建设和服务能力等级证书（CS证书）</w:t>
            </w:r>
            <w:r>
              <w:rPr>
                <w:rFonts w:hint="eastAsia" w:ascii="宋体" w:hAnsi="宋体" w:eastAsia="宋体" w:cs="宋体"/>
                <w:color w:val="auto"/>
                <w:sz w:val="21"/>
                <w:szCs w:val="21"/>
                <w:highlight w:val="none"/>
                <w:lang w:val="en-US" w:eastAsia="zh-CN"/>
              </w:rPr>
              <w:t>资质。每提供一个得1分，满分6分。</w:t>
            </w:r>
          </w:p>
          <w:p w14:paraId="3B4845EA">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kern w:val="0"/>
                <w:sz w:val="21"/>
                <w:szCs w:val="21"/>
                <w:highlight w:val="none"/>
                <w:lang w:val="en-US" w:eastAsia="zh-CN" w:bidi="zh-CN"/>
              </w:rPr>
            </w:pPr>
            <w:r>
              <w:rPr>
                <w:rFonts w:hint="eastAsia" w:ascii="宋体" w:hAnsi="宋体" w:eastAsia="宋体" w:cs="宋体"/>
                <w:color w:val="auto"/>
                <w:sz w:val="21"/>
                <w:szCs w:val="21"/>
                <w:highlight w:val="none"/>
                <w:lang w:val="en-US" w:eastAsia="zh-CN"/>
              </w:rPr>
              <w:t>注：提供以上证书或其他相关证明文件复印件，所有证书需在有效期内</w:t>
            </w:r>
            <w:r>
              <w:rPr>
                <w:rFonts w:hint="eastAsia" w:cs="宋体"/>
                <w:color w:val="auto"/>
                <w:sz w:val="21"/>
                <w:szCs w:val="21"/>
                <w:highlight w:val="none"/>
                <w:lang w:val="en-US" w:eastAsia="zh-CN"/>
              </w:rPr>
              <w:t>。</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0C00E5D9">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宋体" w:hAnsi="宋体" w:eastAsia="宋体" w:cs="宋体"/>
                <w:color w:val="auto"/>
                <w:sz w:val="21"/>
                <w:szCs w:val="21"/>
                <w:highlight w:val="none"/>
                <w:lang w:val="en-US" w:eastAsia="zh-CN"/>
              </w:rPr>
            </w:pPr>
          </w:p>
        </w:tc>
      </w:tr>
      <w:tr w14:paraId="553E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552" w:type="dxa"/>
            <w:vMerge w:val="restart"/>
            <w:tcBorders>
              <w:left w:val="single" w:color="auto" w:sz="4" w:space="0"/>
              <w:right w:val="single" w:color="auto" w:sz="4" w:space="0"/>
            </w:tcBorders>
            <w:vAlign w:val="center"/>
          </w:tcPr>
          <w:p w14:paraId="13A74476">
            <w:pPr>
              <w:pStyle w:val="28"/>
              <w:keepNext w:val="0"/>
              <w:keepLines w:val="0"/>
              <w:pageBreakBefore w:val="0"/>
              <w:wordWrap/>
              <w:topLinePunct w:val="0"/>
              <w:bidi w:val="0"/>
              <w:adjustRightInd/>
              <w:spacing w:line="400" w:lineRule="exact"/>
              <w:jc w:val="center"/>
              <w:textAlignment w:val="auto"/>
              <w:rPr>
                <w:rFonts w:hint="default"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2</w:t>
            </w:r>
          </w:p>
        </w:tc>
        <w:tc>
          <w:tcPr>
            <w:tcW w:w="885" w:type="dxa"/>
            <w:vMerge w:val="restart"/>
            <w:tcBorders>
              <w:left w:val="single" w:color="auto" w:sz="4" w:space="0"/>
              <w:right w:val="single" w:color="auto" w:sz="4" w:space="0"/>
            </w:tcBorders>
            <w:vAlign w:val="center"/>
          </w:tcPr>
          <w:p w14:paraId="11BAA62E">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技术（64分）</w:t>
            </w:r>
          </w:p>
        </w:tc>
        <w:tc>
          <w:tcPr>
            <w:tcW w:w="765" w:type="dxa"/>
            <w:tcBorders>
              <w:top w:val="single" w:color="auto" w:sz="4" w:space="0"/>
              <w:left w:val="single" w:color="auto" w:sz="4" w:space="0"/>
              <w:right w:val="single" w:color="auto" w:sz="4" w:space="0"/>
            </w:tcBorders>
            <w:shd w:val="clear" w:color="auto" w:fill="auto"/>
            <w:vAlign w:val="center"/>
          </w:tcPr>
          <w:p w14:paraId="7A9C996B">
            <w:pPr>
              <w:pStyle w:val="28"/>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项目团队</w:t>
            </w:r>
          </w:p>
          <w:p w14:paraId="72A40959">
            <w:pPr>
              <w:pStyle w:val="28"/>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kern w:val="0"/>
                <w:sz w:val="21"/>
                <w:szCs w:val="21"/>
                <w:highlight w:val="none"/>
                <w:lang w:val="zh-CN" w:eastAsia="zh-CN" w:bidi="zh-CN"/>
              </w:rPr>
            </w:pPr>
            <w:r>
              <w:rPr>
                <w:rFonts w:hint="eastAsia" w:ascii="宋体" w:hAnsi="宋体" w:eastAsia="宋体" w:cs="宋体"/>
                <w:bCs/>
                <w:sz w:val="21"/>
                <w:szCs w:val="21"/>
                <w:highlight w:val="none"/>
                <w:lang w:val="en-US" w:eastAsia="zh-CN"/>
              </w:rPr>
              <w:t>（</w:t>
            </w:r>
            <w:r>
              <w:rPr>
                <w:rFonts w:hint="eastAsia" w:hAnsi="宋体" w:eastAsia="宋体" w:cs="宋体"/>
                <w:bCs/>
                <w:sz w:val="21"/>
                <w:szCs w:val="21"/>
                <w:highlight w:val="none"/>
                <w:lang w:val="en-US" w:eastAsia="zh-CN"/>
              </w:rPr>
              <w:t>9</w:t>
            </w:r>
            <w:r>
              <w:rPr>
                <w:rFonts w:hint="eastAsia" w:ascii="宋体" w:hAnsi="宋体" w:eastAsia="宋体" w:cs="宋体"/>
                <w:bCs/>
                <w:sz w:val="21"/>
                <w:szCs w:val="21"/>
                <w:highlight w:val="none"/>
                <w:lang w:val="en-US" w:eastAsia="zh-CN"/>
              </w:rPr>
              <w:t>分）</w:t>
            </w:r>
          </w:p>
        </w:tc>
        <w:tc>
          <w:tcPr>
            <w:tcW w:w="7027" w:type="dxa"/>
            <w:tcBorders>
              <w:top w:val="single" w:color="auto" w:sz="4" w:space="0"/>
              <w:left w:val="single" w:color="auto" w:sz="4" w:space="0"/>
              <w:bottom w:val="single" w:color="auto" w:sz="4" w:space="0"/>
              <w:right w:val="single" w:color="auto" w:sz="4" w:space="0"/>
            </w:tcBorders>
            <w:shd w:val="clear" w:color="auto" w:fill="auto"/>
            <w:vAlign w:val="center"/>
          </w:tcPr>
          <w:p w14:paraId="66BB7B88">
            <w:pPr>
              <w:pStyle w:val="28"/>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default"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根据投标人项目团队内容（项目经理不少于2个同类项目经验、团队其他人员不少于1个同类项目经验等方面材料）进行评审：</w:t>
            </w:r>
          </w:p>
          <w:p w14:paraId="55213004">
            <w:pPr>
              <w:pStyle w:val="28"/>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一档（0.1～3分）项目经理有不少于2个同类项目经验、团队人员有1-2个同类项目经验</w:t>
            </w:r>
            <w:r>
              <w:rPr>
                <w:rFonts w:hint="eastAsia" w:hAnsi="宋体" w:eastAsia="宋体" w:cs="宋体"/>
                <w:bCs/>
                <w:sz w:val="21"/>
                <w:szCs w:val="21"/>
                <w:highlight w:val="none"/>
                <w:lang w:val="en-US" w:eastAsia="zh-CN"/>
              </w:rPr>
              <w:t>；</w:t>
            </w:r>
          </w:p>
          <w:p w14:paraId="1DDAA5D8">
            <w:pPr>
              <w:pStyle w:val="28"/>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二档（3.1～6分）项目经理有不少于3个同类项目经验、团队人员有1-2个同类项目经验</w:t>
            </w:r>
            <w:r>
              <w:rPr>
                <w:rFonts w:hint="eastAsia" w:hAnsi="宋体" w:eastAsia="宋体" w:cs="宋体"/>
                <w:bCs/>
                <w:sz w:val="21"/>
                <w:szCs w:val="21"/>
                <w:highlight w:val="none"/>
                <w:lang w:val="en-US" w:eastAsia="zh-CN"/>
              </w:rPr>
              <w:t>；</w:t>
            </w:r>
          </w:p>
          <w:p w14:paraId="0B92766A">
            <w:pPr>
              <w:pStyle w:val="28"/>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三档（6.1～9分）项目经理有5个及以上同类项目经验，</w:t>
            </w:r>
            <w:r>
              <w:rPr>
                <w:rFonts w:hint="eastAsia" w:ascii="宋体" w:hAnsi="宋体" w:eastAsia="宋体" w:cs="宋体"/>
                <w:sz w:val="21"/>
                <w:szCs w:val="21"/>
                <w:highlight w:val="none"/>
              </w:rPr>
              <w:t>同时具备</w:t>
            </w:r>
            <w:r>
              <w:rPr>
                <w:rFonts w:hint="eastAsia" w:ascii="宋体" w:hAnsi="宋体" w:eastAsia="宋体" w:cs="宋体"/>
                <w:sz w:val="21"/>
                <w:szCs w:val="21"/>
                <w:highlight w:val="none"/>
                <w:lang w:val="en-US" w:eastAsia="zh-CN"/>
              </w:rPr>
              <w:t>软件开发或AI相关</w:t>
            </w:r>
            <w:r>
              <w:rPr>
                <w:rFonts w:hint="eastAsia" w:ascii="宋体" w:hAnsi="宋体" w:eastAsia="宋体" w:cs="宋体"/>
                <w:sz w:val="21"/>
                <w:szCs w:val="21"/>
                <w:highlight w:val="none"/>
              </w:rPr>
              <w:t>证书（</w:t>
            </w:r>
            <w:r>
              <w:rPr>
                <w:rFonts w:hint="eastAsia" w:ascii="宋体" w:hAnsi="宋体" w:eastAsia="宋体" w:cs="宋体"/>
                <w:sz w:val="21"/>
                <w:szCs w:val="21"/>
                <w:highlight w:val="none"/>
                <w:lang w:val="en-US" w:eastAsia="zh-CN"/>
              </w:rPr>
              <w:t>软考中级以上、AI相关认证（如华为昇腾HCIP认证）、2</w:t>
            </w:r>
            <w:r>
              <w:rPr>
                <w:rFonts w:hint="eastAsia" w:ascii="宋体" w:hAnsi="宋体" w:eastAsia="宋体" w:cs="宋体"/>
                <w:sz w:val="21"/>
                <w:szCs w:val="21"/>
                <w:highlight w:val="none"/>
              </w:rPr>
              <w:t>个证书中的一项或多项）和项目管理师PMP证书</w:t>
            </w:r>
            <w:r>
              <w:rPr>
                <w:rFonts w:hint="eastAsia"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团队人员</w:t>
            </w:r>
            <w:r>
              <w:rPr>
                <w:rFonts w:hint="eastAsia" w:ascii="宋体" w:hAnsi="宋体" w:eastAsia="宋体" w:cs="宋体"/>
                <w:bCs/>
                <w:sz w:val="21"/>
                <w:szCs w:val="21"/>
                <w:highlight w:val="none"/>
                <w:lang w:val="en-US" w:eastAsia="zh-CN"/>
              </w:rPr>
              <w:t>有不少于3个</w:t>
            </w:r>
            <w:r>
              <w:rPr>
                <w:rFonts w:hint="eastAsia" w:ascii="宋体" w:hAnsi="宋体" w:eastAsia="宋体" w:cs="宋体"/>
                <w:sz w:val="21"/>
                <w:szCs w:val="21"/>
                <w:highlight w:val="none"/>
                <w:lang w:val="en-US" w:eastAsia="zh-CN"/>
              </w:rPr>
              <w:t>同类项目经验。</w:t>
            </w:r>
          </w:p>
          <w:p w14:paraId="098CB934">
            <w:pPr>
              <w:pStyle w:val="28"/>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kern w:val="0"/>
                <w:sz w:val="21"/>
                <w:szCs w:val="21"/>
                <w:highlight w:val="none"/>
                <w:lang w:val="en-US" w:eastAsia="zh-CN" w:bidi="zh-CN"/>
              </w:rPr>
            </w:pPr>
            <w:r>
              <w:rPr>
                <w:rFonts w:hint="eastAsia" w:ascii="宋体" w:hAnsi="宋体" w:eastAsia="宋体" w:cs="宋体"/>
                <w:sz w:val="21"/>
                <w:szCs w:val="21"/>
                <w:highlight w:val="none"/>
              </w:rPr>
              <w:t>注：①需提供团队人员清单，包含姓名、电话、职务（如项目经理、</w:t>
            </w:r>
            <w:r>
              <w:rPr>
                <w:rFonts w:hint="eastAsia" w:ascii="宋体" w:hAnsi="宋体" w:eastAsia="宋体" w:cs="宋体"/>
                <w:sz w:val="21"/>
                <w:szCs w:val="21"/>
                <w:highlight w:val="none"/>
                <w:lang w:val="en-US"/>
              </w:rPr>
              <w:t>团队</w:t>
            </w:r>
            <w:r>
              <w:rPr>
                <w:rFonts w:hint="eastAsia" w:ascii="宋体" w:hAnsi="宋体" w:eastAsia="宋体" w:cs="宋体"/>
                <w:sz w:val="21"/>
                <w:szCs w:val="21"/>
                <w:highlight w:val="none"/>
              </w:rPr>
              <w:t>人员）、职责等信息</w:t>
            </w:r>
            <w:r>
              <w:rPr>
                <w:rFonts w:hint="eastAsia" w:ascii="宋体" w:hAnsi="宋体" w:eastAsia="宋体" w:cs="宋体"/>
                <w:sz w:val="21"/>
                <w:szCs w:val="21"/>
                <w:highlight w:val="none"/>
                <w:lang w:val="en-US"/>
              </w:rPr>
              <w:t>；②</w:t>
            </w:r>
            <w:r>
              <w:rPr>
                <w:rFonts w:hint="eastAsia" w:ascii="宋体" w:hAnsi="宋体" w:eastAsia="宋体" w:cs="宋体"/>
                <w:szCs w:val="21"/>
                <w:highlight w:val="none"/>
              </w:rPr>
              <w:t>提供证书复印件、所从事过项目的验收报告或用户证明</w:t>
            </w:r>
            <w:r>
              <w:rPr>
                <w:rFonts w:hint="eastAsia" w:ascii="宋体" w:hAnsi="宋体" w:eastAsia="宋体" w:cs="宋体"/>
                <w:szCs w:val="21"/>
                <w:highlight w:val="none"/>
                <w:lang w:val="en-US"/>
              </w:rPr>
              <w:t>；③</w:t>
            </w:r>
            <w:r>
              <w:rPr>
                <w:rFonts w:hint="eastAsia" w:ascii="宋体" w:hAnsi="宋体" w:eastAsia="宋体" w:cs="宋体"/>
                <w:highlight w:val="none"/>
                <w:lang w:val="en-US"/>
              </w:rPr>
              <w:t>由</w:t>
            </w:r>
            <w:r>
              <w:rPr>
                <w:rFonts w:hint="eastAsia" w:ascii="宋体" w:hAnsi="宋体" w:eastAsia="宋体" w:cs="宋体"/>
                <w:highlight w:val="none"/>
              </w:rPr>
              <w:t>投标</w:t>
            </w:r>
            <w:r>
              <w:rPr>
                <w:rFonts w:hint="eastAsia" w:ascii="宋体" w:hAnsi="宋体" w:eastAsia="宋体" w:cs="宋体"/>
                <w:highlight w:val="none"/>
                <w:lang w:val="en-US"/>
              </w:rPr>
              <w:t>人在</w:t>
            </w:r>
            <w:r>
              <w:rPr>
                <w:rFonts w:hint="eastAsia" w:ascii="宋体" w:hAnsi="宋体" w:eastAsia="宋体" w:cs="宋体"/>
                <w:highlight w:val="none"/>
              </w:rPr>
              <w:t>截</w:t>
            </w:r>
            <w:r>
              <w:rPr>
                <w:rFonts w:hint="eastAsia" w:ascii="宋体" w:hAnsi="宋体" w:eastAsia="宋体" w:cs="宋体"/>
                <w:highlight w:val="none"/>
                <w:lang w:val="en-US"/>
              </w:rPr>
              <w:t>标时间</w:t>
            </w:r>
            <w:r>
              <w:rPr>
                <w:rFonts w:hint="eastAsia" w:ascii="宋体" w:hAnsi="宋体" w:eastAsia="宋体" w:cs="宋体"/>
                <w:highlight w:val="none"/>
              </w:rPr>
              <w:t>前</w:t>
            </w:r>
            <w:r>
              <w:rPr>
                <w:rFonts w:hint="eastAsia" w:ascii="宋体" w:hAnsi="宋体" w:eastAsia="宋体" w:cs="宋体"/>
                <w:highlight w:val="none"/>
                <w:lang w:val="en-US"/>
              </w:rPr>
              <w:t>连续</w:t>
            </w:r>
            <w:r>
              <w:rPr>
                <w:rFonts w:hint="eastAsia" w:ascii="宋体" w:hAnsi="宋体" w:eastAsia="宋体" w:cs="宋体"/>
                <w:highlight w:val="none"/>
                <w:lang w:val="en-US" w:eastAsia="zh-CN"/>
              </w:rPr>
              <w:t>6</w:t>
            </w:r>
            <w:r>
              <w:rPr>
                <w:rFonts w:hint="eastAsia" w:ascii="宋体" w:hAnsi="宋体" w:eastAsia="宋体" w:cs="宋体"/>
                <w:highlight w:val="none"/>
              </w:rPr>
              <w:t>个月</w:t>
            </w:r>
            <w:r>
              <w:rPr>
                <w:rFonts w:hint="eastAsia" w:ascii="宋体" w:hAnsi="宋体" w:eastAsia="宋体" w:cs="宋体"/>
                <w:highlight w:val="none"/>
                <w:lang w:val="en-US" w:eastAsia="zh-CN"/>
              </w:rPr>
              <w:t>内任意1个月</w:t>
            </w:r>
            <w:r>
              <w:rPr>
                <w:rFonts w:hint="eastAsia" w:ascii="宋体" w:hAnsi="宋体" w:eastAsia="宋体" w:cs="宋体"/>
                <w:sz w:val="21"/>
                <w:szCs w:val="21"/>
                <w:highlight w:val="none"/>
              </w:rPr>
              <w:t>（不含截标当月）</w:t>
            </w:r>
            <w:r>
              <w:rPr>
                <w:rFonts w:hint="eastAsia" w:ascii="宋体" w:hAnsi="宋体" w:eastAsia="宋体" w:cs="宋体"/>
                <w:highlight w:val="none"/>
                <w:lang w:val="en-US"/>
              </w:rPr>
              <w:t>为其</w:t>
            </w:r>
            <w:r>
              <w:rPr>
                <w:rFonts w:hint="eastAsia" w:ascii="宋体" w:hAnsi="宋体" w:eastAsia="宋体" w:cs="宋体"/>
                <w:highlight w:val="none"/>
              </w:rPr>
              <w:t>缴纳的社保</w:t>
            </w:r>
            <w:r>
              <w:rPr>
                <w:rFonts w:hint="eastAsia" w:ascii="宋体" w:hAnsi="宋体" w:eastAsia="宋体" w:cs="宋体"/>
                <w:highlight w:val="none"/>
                <w:lang w:val="en-US"/>
              </w:rPr>
              <w:t>证明材料</w:t>
            </w:r>
            <w:r>
              <w:rPr>
                <w:rFonts w:hint="eastAsia" w:ascii="宋体" w:hAnsi="宋体" w:eastAsia="宋体" w:cs="宋体"/>
                <w:highlight w:val="none"/>
                <w:lang w:val="en-US" w:eastAsia="zh-CN"/>
              </w:rPr>
              <w:t>复印件</w:t>
            </w:r>
            <w:r>
              <w:rPr>
                <w:rFonts w:hint="eastAsia" w:ascii="宋体" w:hAnsi="宋体" w:eastAsia="宋体" w:cs="宋体"/>
                <w:sz w:val="21"/>
                <w:szCs w:val="21"/>
                <w:highlight w:val="none"/>
                <w:lang w:val="en-US"/>
              </w:rPr>
              <w:t>或劳动合同</w:t>
            </w:r>
            <w:r>
              <w:rPr>
                <w:rFonts w:hint="eastAsia" w:ascii="宋体" w:hAnsi="宋体" w:eastAsia="宋体" w:cs="宋体"/>
                <w:sz w:val="21"/>
                <w:szCs w:val="21"/>
                <w:highlight w:val="none"/>
                <w:lang w:val="en-US" w:eastAsia="zh-CN"/>
              </w:rPr>
              <w:t>复印件</w:t>
            </w:r>
            <w:r>
              <w:rPr>
                <w:rFonts w:hint="eastAsia" w:ascii="宋体" w:hAnsi="宋体" w:eastAsia="宋体" w:cs="宋体"/>
                <w:sz w:val="21"/>
                <w:szCs w:val="21"/>
                <w:highlight w:val="none"/>
              </w:rPr>
              <w:t>（所有相关材料加盖公章，否则无效）。</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6F5ADD7B">
            <w:pPr>
              <w:pStyle w:val="28"/>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sz w:val="21"/>
                <w:szCs w:val="21"/>
                <w:highlight w:val="none"/>
              </w:rPr>
            </w:pPr>
          </w:p>
        </w:tc>
      </w:tr>
      <w:tr w14:paraId="08192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552" w:type="dxa"/>
            <w:vMerge w:val="continue"/>
            <w:tcBorders>
              <w:left w:val="single" w:color="auto" w:sz="4" w:space="0"/>
              <w:right w:val="single" w:color="auto" w:sz="4" w:space="0"/>
            </w:tcBorders>
            <w:vAlign w:val="center"/>
          </w:tcPr>
          <w:p w14:paraId="3C6119BA">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p>
        </w:tc>
        <w:tc>
          <w:tcPr>
            <w:tcW w:w="885" w:type="dxa"/>
            <w:vMerge w:val="continue"/>
            <w:tcBorders>
              <w:left w:val="single" w:color="auto" w:sz="4" w:space="0"/>
              <w:right w:val="single" w:color="auto" w:sz="4" w:space="0"/>
            </w:tcBorders>
            <w:vAlign w:val="center"/>
          </w:tcPr>
          <w:p w14:paraId="141C0447">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765" w:type="dxa"/>
            <w:tcBorders>
              <w:top w:val="single" w:color="auto" w:sz="4" w:space="0"/>
              <w:left w:val="single" w:color="auto" w:sz="4" w:space="0"/>
              <w:right w:val="single" w:color="auto" w:sz="4" w:space="0"/>
            </w:tcBorders>
            <w:shd w:val="clear" w:color="auto" w:fill="auto"/>
            <w:vAlign w:val="center"/>
          </w:tcPr>
          <w:p w14:paraId="292EA1E3">
            <w:pPr>
              <w:pStyle w:val="28"/>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技术方案及实施方案</w:t>
            </w:r>
          </w:p>
          <w:p w14:paraId="22FC8327">
            <w:pPr>
              <w:pStyle w:val="28"/>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sz w:val="21"/>
                <w:szCs w:val="21"/>
                <w:highlight w:val="none"/>
              </w:rPr>
            </w:pPr>
            <w:r>
              <w:rPr>
                <w:rFonts w:hint="eastAsia" w:ascii="宋体" w:hAnsi="宋体" w:eastAsia="宋体" w:cs="宋体"/>
                <w:sz w:val="21"/>
                <w:szCs w:val="21"/>
                <w:highlight w:val="none"/>
                <w:lang w:eastAsia="zh-CN"/>
              </w:rPr>
              <w:t>（</w:t>
            </w:r>
            <w:r>
              <w:rPr>
                <w:rFonts w:hint="eastAsia" w:hAnsi="宋体" w:eastAsia="宋体" w:cs="宋体"/>
                <w:sz w:val="21"/>
                <w:szCs w:val="21"/>
                <w:highlight w:val="none"/>
                <w:lang w:val="en-US" w:eastAsia="zh-CN"/>
              </w:rPr>
              <w:t>40</w:t>
            </w:r>
            <w:r>
              <w:rPr>
                <w:rFonts w:hint="eastAsia" w:ascii="宋体" w:hAnsi="宋体" w:eastAsia="宋体" w:cs="宋体"/>
                <w:sz w:val="21"/>
                <w:szCs w:val="21"/>
                <w:highlight w:val="none"/>
                <w:lang w:val="en-US" w:eastAsia="zh-CN"/>
              </w:rPr>
              <w:t>分</w:t>
            </w:r>
            <w:r>
              <w:rPr>
                <w:rFonts w:hint="eastAsia" w:ascii="宋体" w:hAnsi="宋体" w:eastAsia="宋体" w:cs="宋体"/>
                <w:sz w:val="21"/>
                <w:szCs w:val="21"/>
                <w:highlight w:val="none"/>
                <w:lang w:eastAsia="zh-CN"/>
              </w:rPr>
              <w:t>）</w:t>
            </w:r>
          </w:p>
        </w:tc>
        <w:tc>
          <w:tcPr>
            <w:tcW w:w="7027" w:type="dxa"/>
            <w:tcBorders>
              <w:top w:val="single" w:color="auto" w:sz="4" w:space="0"/>
              <w:left w:val="single" w:color="auto" w:sz="4" w:space="0"/>
              <w:bottom w:val="single" w:color="auto" w:sz="4" w:space="0"/>
              <w:right w:val="single" w:color="auto" w:sz="4" w:space="0"/>
            </w:tcBorders>
            <w:shd w:val="clear" w:color="auto" w:fill="auto"/>
            <w:vAlign w:val="center"/>
          </w:tcPr>
          <w:p w14:paraId="64F81321">
            <w:pPr>
              <w:pStyle w:val="130"/>
              <w:keepNext w:val="0"/>
              <w:keepLines w:val="0"/>
              <w:pageBreakBefore w:val="0"/>
              <w:kinsoku w:val="0"/>
              <w:wordWrap/>
              <w:overflowPunct w:val="0"/>
              <w:topLinePunct w:val="0"/>
              <w:autoSpaceDE/>
              <w:autoSpaceDN/>
              <w:bidi w:val="0"/>
              <w:spacing w:line="380" w:lineRule="exact"/>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根据投标人投标文件提供的实施方案内容</w:t>
            </w:r>
            <w:r>
              <w:rPr>
                <w:rFonts w:hint="eastAsia" w:cs="宋体"/>
                <w:sz w:val="21"/>
                <w:szCs w:val="21"/>
                <w:highlight w:val="none"/>
                <w:lang w:eastAsia="zh-CN"/>
              </w:rPr>
              <w:t>（</w:t>
            </w:r>
            <w:r>
              <w:rPr>
                <w:rFonts w:hint="eastAsia" w:cs="宋体"/>
                <w:sz w:val="21"/>
                <w:szCs w:val="21"/>
                <w:highlight w:val="none"/>
                <w:lang w:val="en-US" w:eastAsia="zh-CN"/>
              </w:rPr>
              <w:t>包括且不限于</w:t>
            </w:r>
            <w:r>
              <w:rPr>
                <w:rFonts w:hint="eastAsia" w:ascii="宋体" w:hAnsi="宋体" w:eastAsia="宋体" w:cs="宋体"/>
                <w:sz w:val="21"/>
                <w:szCs w:val="21"/>
                <w:highlight w:val="none"/>
              </w:rPr>
              <w:t>实施服务，质量管理，技术培训，项目管理和措施等材料</w:t>
            </w:r>
            <w:r>
              <w:rPr>
                <w:rFonts w:hint="eastAsia" w:cs="宋体"/>
                <w:sz w:val="21"/>
                <w:szCs w:val="21"/>
                <w:highlight w:val="none"/>
                <w:lang w:eastAsia="zh-CN"/>
              </w:rPr>
              <w:t>）</w:t>
            </w:r>
            <w:r>
              <w:rPr>
                <w:rFonts w:hint="eastAsia" w:ascii="宋体" w:hAnsi="宋体" w:eastAsia="宋体" w:cs="宋体"/>
                <w:sz w:val="21"/>
                <w:szCs w:val="21"/>
                <w:highlight w:val="none"/>
              </w:rPr>
              <w:t>进行</w:t>
            </w:r>
            <w:r>
              <w:rPr>
                <w:rFonts w:hint="eastAsia" w:cs="宋体"/>
                <w:sz w:val="21"/>
                <w:szCs w:val="21"/>
                <w:highlight w:val="none"/>
                <w:lang w:val="en-US" w:eastAsia="zh-CN"/>
              </w:rPr>
              <w:t>综合</w:t>
            </w:r>
            <w:r>
              <w:rPr>
                <w:rFonts w:hint="eastAsia" w:ascii="宋体" w:hAnsi="宋体" w:eastAsia="宋体" w:cs="宋体"/>
                <w:sz w:val="21"/>
                <w:szCs w:val="21"/>
                <w:highlight w:val="none"/>
              </w:rPr>
              <w:t>评审：</w:t>
            </w:r>
          </w:p>
          <w:p w14:paraId="3C036E17">
            <w:pPr>
              <w:pStyle w:val="28"/>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一档（0.1～13分）</w:t>
            </w:r>
            <w:r>
              <w:rPr>
                <w:rFonts w:hint="eastAsia" w:ascii="宋体" w:hAnsi="宋体" w:eastAsia="宋体" w:cs="宋体"/>
                <w:bCs/>
                <w:sz w:val="21"/>
                <w:szCs w:val="21"/>
                <w:highlight w:val="none"/>
              </w:rPr>
              <w:t>对实施方案进行着重说明的，但分析不够具体、不全面、方案叙述简单笼统</w:t>
            </w:r>
            <w:r>
              <w:rPr>
                <w:rFonts w:hint="eastAsia" w:ascii="宋体" w:hAnsi="宋体" w:eastAsia="宋体" w:cs="宋体"/>
                <w:bCs/>
                <w:sz w:val="21"/>
                <w:szCs w:val="21"/>
                <w:highlight w:val="none"/>
                <w:lang w:eastAsia="zh-CN"/>
              </w:rPr>
              <w:t>；</w:t>
            </w:r>
          </w:p>
          <w:p w14:paraId="463AAD3F">
            <w:pPr>
              <w:pStyle w:val="28"/>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 xml:space="preserve">二档（13.1～26分） </w:t>
            </w:r>
            <w:r>
              <w:rPr>
                <w:rFonts w:hint="eastAsia" w:ascii="宋体" w:hAnsi="宋体" w:eastAsia="宋体" w:cs="宋体"/>
                <w:bCs/>
                <w:sz w:val="21"/>
                <w:szCs w:val="21"/>
                <w:highlight w:val="none"/>
              </w:rPr>
              <w:t>对实施方案着重说明的，能进行较具体、全面分析，方案基本合理、可行</w:t>
            </w:r>
            <w:r>
              <w:rPr>
                <w:rFonts w:hint="eastAsia" w:hAnsi="宋体" w:eastAsia="宋体" w:cs="宋体"/>
                <w:bCs/>
                <w:sz w:val="21"/>
                <w:szCs w:val="21"/>
                <w:highlight w:val="none"/>
                <w:lang w:val="en-US" w:eastAsia="zh-CN"/>
              </w:rPr>
              <w:t>；</w:t>
            </w:r>
          </w:p>
          <w:p w14:paraId="02E3473B">
            <w:pPr>
              <w:pStyle w:val="28"/>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Theme="minorEastAsia" w:hAnsiTheme="minorEastAsia" w:eastAsiaTheme="minorEastAsia" w:cstheme="minorEastAsia"/>
                <w:sz w:val="21"/>
                <w:szCs w:val="21"/>
                <w:highlight w:val="none"/>
              </w:rPr>
            </w:pPr>
            <w:r>
              <w:rPr>
                <w:rFonts w:hint="eastAsia" w:ascii="宋体" w:hAnsi="宋体" w:eastAsia="宋体" w:cs="宋体"/>
                <w:bCs/>
                <w:sz w:val="21"/>
                <w:szCs w:val="21"/>
                <w:highlight w:val="none"/>
                <w:lang w:val="en-US" w:eastAsia="zh-CN"/>
              </w:rPr>
              <w:t>三档（26.1～40分）</w:t>
            </w:r>
            <w:r>
              <w:rPr>
                <w:rFonts w:hint="eastAsia" w:ascii="宋体" w:hAnsi="宋体" w:eastAsia="宋体" w:cs="宋体"/>
                <w:bCs/>
                <w:sz w:val="21"/>
                <w:szCs w:val="21"/>
                <w:highlight w:val="none"/>
              </w:rPr>
              <w:t>对实施方案着重说明的，能进行详细全面的分析，方案合理、可行，有针对性地根据所采用的技术的可行性与优点进行详细分析说明，提供良好的深化设计方案</w:t>
            </w:r>
            <w:r>
              <w:rPr>
                <w:rFonts w:hint="eastAsia" w:ascii="宋体" w:hAnsi="宋体" w:eastAsia="宋体" w:cs="宋体"/>
                <w:bCs/>
                <w:sz w:val="21"/>
                <w:szCs w:val="21"/>
                <w:highlight w:val="none"/>
                <w:lang w:eastAsia="zh-CN"/>
              </w:rPr>
              <w:t>。</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40F70E4A">
            <w:pPr>
              <w:pStyle w:val="28"/>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sz w:val="21"/>
                <w:szCs w:val="21"/>
                <w:highlight w:val="none"/>
                <w:lang w:val="en-US" w:eastAsia="zh-CN"/>
              </w:rPr>
            </w:pPr>
          </w:p>
        </w:tc>
      </w:tr>
      <w:tr w14:paraId="19A7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552" w:type="dxa"/>
            <w:vMerge w:val="continue"/>
            <w:tcBorders>
              <w:left w:val="single" w:color="auto" w:sz="4" w:space="0"/>
              <w:right w:val="single" w:color="auto" w:sz="4" w:space="0"/>
            </w:tcBorders>
            <w:vAlign w:val="center"/>
          </w:tcPr>
          <w:p w14:paraId="1CF2C679">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p>
        </w:tc>
        <w:tc>
          <w:tcPr>
            <w:tcW w:w="885" w:type="dxa"/>
            <w:vMerge w:val="continue"/>
            <w:tcBorders>
              <w:left w:val="single" w:color="auto" w:sz="4" w:space="0"/>
              <w:right w:val="single" w:color="auto" w:sz="4" w:space="0"/>
            </w:tcBorders>
            <w:vAlign w:val="center"/>
          </w:tcPr>
          <w:p w14:paraId="396CAE54">
            <w:pPr>
              <w:pStyle w:val="28"/>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765" w:type="dxa"/>
            <w:tcBorders>
              <w:top w:val="single" w:color="auto" w:sz="4" w:space="0"/>
              <w:left w:val="single" w:color="auto" w:sz="4" w:space="0"/>
              <w:right w:val="single" w:color="auto" w:sz="4" w:space="0"/>
            </w:tcBorders>
            <w:shd w:val="clear" w:color="auto" w:fill="auto"/>
            <w:vAlign w:val="center"/>
          </w:tcPr>
          <w:p w14:paraId="3CBBFCD8">
            <w:pPr>
              <w:pStyle w:val="28"/>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服务方案</w:t>
            </w:r>
          </w:p>
          <w:p w14:paraId="69E9A1D9">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kern w:val="0"/>
                <w:sz w:val="21"/>
                <w:szCs w:val="21"/>
                <w:highlight w:val="none"/>
                <w:lang w:val="zh-CN" w:eastAsia="zh-CN" w:bidi="zh-CN"/>
              </w:rPr>
            </w:pPr>
            <w:r>
              <w:rPr>
                <w:rFonts w:hint="eastAsia" w:ascii="宋体" w:hAnsi="宋体" w:eastAsia="宋体" w:cs="宋体"/>
                <w:bCs/>
                <w:sz w:val="21"/>
                <w:szCs w:val="21"/>
                <w:highlight w:val="none"/>
                <w:lang w:val="en-US" w:eastAsia="zh-CN"/>
              </w:rPr>
              <w:t>（</w:t>
            </w:r>
            <w:r>
              <w:rPr>
                <w:rFonts w:hint="eastAsia" w:hAnsi="宋体" w:eastAsia="宋体" w:cs="宋体"/>
                <w:bCs/>
                <w:sz w:val="21"/>
                <w:szCs w:val="21"/>
                <w:highlight w:val="none"/>
                <w:lang w:val="en-US" w:eastAsia="zh-CN"/>
              </w:rPr>
              <w:t>15</w:t>
            </w:r>
            <w:r>
              <w:rPr>
                <w:rFonts w:hint="eastAsia" w:ascii="宋体" w:hAnsi="宋体" w:eastAsia="宋体" w:cs="宋体"/>
                <w:bCs/>
                <w:sz w:val="21"/>
                <w:szCs w:val="21"/>
                <w:highlight w:val="none"/>
                <w:lang w:val="en-US" w:eastAsia="zh-CN"/>
              </w:rPr>
              <w:t>分）</w:t>
            </w:r>
          </w:p>
        </w:tc>
        <w:tc>
          <w:tcPr>
            <w:tcW w:w="7027" w:type="dxa"/>
            <w:tcBorders>
              <w:top w:val="single" w:color="auto" w:sz="4" w:space="0"/>
              <w:left w:val="single" w:color="auto" w:sz="4" w:space="0"/>
              <w:bottom w:val="single" w:color="auto" w:sz="4" w:space="0"/>
              <w:right w:val="single" w:color="auto" w:sz="4" w:space="0"/>
            </w:tcBorders>
            <w:shd w:val="clear" w:color="auto" w:fill="auto"/>
            <w:vAlign w:val="center"/>
          </w:tcPr>
          <w:p w14:paraId="1E5DD33B">
            <w:pPr>
              <w:pStyle w:val="130"/>
              <w:keepNext w:val="0"/>
              <w:keepLines w:val="0"/>
              <w:pageBreakBefore w:val="0"/>
              <w:kinsoku w:val="0"/>
              <w:wordWrap/>
              <w:overflowPunct w:val="0"/>
              <w:topLinePunct w:val="0"/>
              <w:autoSpaceDE/>
              <w:autoSpaceDN/>
              <w:bidi w:val="0"/>
              <w:spacing w:line="380" w:lineRule="exact"/>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根据各投标人提供的服务方案</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包括</w:t>
            </w:r>
            <w:r>
              <w:rPr>
                <w:rFonts w:hint="eastAsia" w:cs="宋体"/>
                <w:sz w:val="21"/>
                <w:szCs w:val="21"/>
                <w:highlight w:val="none"/>
                <w:lang w:val="en-US" w:eastAsia="zh-CN"/>
              </w:rPr>
              <w:t>且</w:t>
            </w:r>
            <w:r>
              <w:rPr>
                <w:rFonts w:hint="eastAsia" w:ascii="宋体" w:hAnsi="宋体" w:eastAsia="宋体" w:cs="宋体"/>
                <w:sz w:val="21"/>
                <w:szCs w:val="21"/>
                <w:highlight w:val="none"/>
              </w:rPr>
              <w:t>不限于</w:t>
            </w:r>
            <w:r>
              <w:rPr>
                <w:rFonts w:hint="default" w:ascii="宋体" w:hAnsi="宋体" w:eastAsia="宋体" w:cs="宋体"/>
                <w:bCs/>
                <w:sz w:val="21"/>
                <w:szCs w:val="21"/>
                <w:highlight w:val="none"/>
                <w:lang w:val="en-US" w:eastAsia="zh-CN"/>
              </w:rPr>
              <w:t>系统设计、开发、测试、部署、上线、培训</w:t>
            </w:r>
            <w:r>
              <w:rPr>
                <w:rFonts w:hint="eastAsia" w:ascii="宋体" w:hAnsi="宋体" w:eastAsia="宋体" w:cs="宋体"/>
                <w:bCs/>
                <w:sz w:val="21"/>
                <w:szCs w:val="21"/>
                <w:highlight w:val="none"/>
                <w:lang w:val="en-US" w:eastAsia="zh-CN"/>
              </w:rPr>
              <w:t>、</w:t>
            </w:r>
            <w:r>
              <w:rPr>
                <w:rFonts w:hint="eastAsia" w:ascii="宋体" w:hAnsi="宋体" w:eastAsia="宋体" w:cs="宋体"/>
                <w:sz w:val="21"/>
                <w:szCs w:val="21"/>
                <w:highlight w:val="none"/>
              </w:rPr>
              <w:t>售后</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项目验收后工程师经历情况及驻场服务方案及其他相关增量服务等</w:t>
            </w:r>
            <w:r>
              <w:rPr>
                <w:rFonts w:hint="eastAsia" w:ascii="宋体" w:hAnsi="宋体" w:eastAsia="宋体" w:cs="宋体"/>
                <w:sz w:val="21"/>
                <w:szCs w:val="21"/>
                <w:highlight w:val="none"/>
                <w:lang w:val="en-US" w:eastAsia="zh-CN"/>
              </w:rPr>
              <w:t>内容</w:t>
            </w:r>
            <w:r>
              <w:rPr>
                <w:rFonts w:hint="eastAsia" w:ascii="宋体" w:hAnsi="宋体" w:eastAsia="宋体" w:cs="宋体"/>
                <w:sz w:val="21"/>
                <w:szCs w:val="21"/>
                <w:highlight w:val="none"/>
                <w:lang w:eastAsia="zh-CN"/>
              </w:rPr>
              <w:t>）</w:t>
            </w:r>
            <w:r>
              <w:rPr>
                <w:rFonts w:hint="default" w:ascii="宋体" w:hAnsi="宋体" w:eastAsia="宋体" w:cs="宋体"/>
                <w:bCs/>
                <w:sz w:val="21"/>
                <w:szCs w:val="21"/>
                <w:highlight w:val="none"/>
                <w:lang w:val="en-US" w:eastAsia="zh-CN"/>
              </w:rPr>
              <w:t>等全流程</w:t>
            </w:r>
            <w:r>
              <w:rPr>
                <w:rFonts w:hint="eastAsia" w:ascii="宋体" w:hAnsi="宋体" w:eastAsia="宋体" w:cs="宋体"/>
                <w:bCs/>
                <w:sz w:val="21"/>
                <w:szCs w:val="21"/>
                <w:highlight w:val="none"/>
                <w:lang w:val="en-US" w:eastAsia="zh-CN"/>
              </w:rPr>
              <w:t>服务内容</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进行</w:t>
            </w:r>
            <w:r>
              <w:rPr>
                <w:rFonts w:hint="eastAsia" w:cs="宋体"/>
                <w:sz w:val="21"/>
                <w:szCs w:val="21"/>
                <w:highlight w:val="none"/>
                <w:lang w:val="en-US" w:eastAsia="zh-CN"/>
              </w:rPr>
              <w:t>综合</w:t>
            </w:r>
            <w:r>
              <w:rPr>
                <w:rFonts w:hint="eastAsia" w:ascii="宋体" w:hAnsi="宋体" w:eastAsia="宋体" w:cs="宋体"/>
                <w:sz w:val="21"/>
                <w:szCs w:val="21"/>
                <w:highlight w:val="none"/>
              </w:rPr>
              <w:t>评审：</w:t>
            </w:r>
          </w:p>
          <w:p w14:paraId="0153BD54">
            <w:pPr>
              <w:pStyle w:val="28"/>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一档（0.1～5分）投标人提供的</w:t>
            </w:r>
            <w:r>
              <w:rPr>
                <w:rFonts w:hint="eastAsia" w:ascii="宋体" w:hAnsi="宋体" w:eastAsia="宋体" w:cs="宋体"/>
                <w:sz w:val="21"/>
                <w:szCs w:val="21"/>
                <w:highlight w:val="none"/>
              </w:rPr>
              <w:t>服务方案</w:t>
            </w:r>
            <w:r>
              <w:rPr>
                <w:rFonts w:hint="eastAsia" w:ascii="宋体" w:hAnsi="宋体" w:eastAsia="宋体" w:cs="宋体"/>
                <w:sz w:val="21"/>
                <w:szCs w:val="21"/>
                <w:highlight w:val="none"/>
                <w:lang w:val="en-US" w:eastAsia="zh-CN"/>
              </w:rPr>
              <w:t>基本</w:t>
            </w:r>
            <w:r>
              <w:rPr>
                <w:rFonts w:hint="eastAsia" w:ascii="宋体" w:hAnsi="宋体" w:eastAsia="宋体" w:cs="宋体"/>
                <w:sz w:val="21"/>
                <w:szCs w:val="21"/>
                <w:highlight w:val="none"/>
              </w:rPr>
              <w:t>可</w:t>
            </w:r>
            <w:r>
              <w:rPr>
                <w:rFonts w:hint="eastAsia" w:ascii="宋体" w:hAnsi="宋体" w:eastAsia="宋体" w:cs="宋体"/>
                <w:sz w:val="21"/>
                <w:szCs w:val="21"/>
                <w:highlight w:val="none"/>
                <w:lang w:val="en-US" w:eastAsia="zh-CN"/>
              </w:rPr>
              <w:t>行，服务内容基本符合本项目需求</w:t>
            </w:r>
            <w:r>
              <w:rPr>
                <w:rFonts w:hint="eastAsia" w:ascii="宋体" w:hAnsi="宋体" w:eastAsia="宋体" w:cs="宋体"/>
                <w:sz w:val="21"/>
                <w:szCs w:val="21"/>
                <w:highlight w:val="none"/>
                <w:lang w:eastAsia="zh-CN"/>
              </w:rPr>
              <w:t>；</w:t>
            </w:r>
          </w:p>
          <w:p w14:paraId="3879F06B">
            <w:pPr>
              <w:pStyle w:val="28"/>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二档（5.1～10分）在满足一档的基础上，服务内容明确、售后服务要求对本项目具</w:t>
            </w:r>
            <w:r>
              <w:rPr>
                <w:rFonts w:hint="eastAsia" w:hAnsi="宋体" w:eastAsia="宋体" w:cs="宋体"/>
                <w:bCs/>
                <w:sz w:val="21"/>
                <w:szCs w:val="21"/>
                <w:highlight w:val="none"/>
                <w:lang w:val="en-US" w:eastAsia="zh-CN"/>
              </w:rPr>
              <w:t>有</w:t>
            </w:r>
            <w:r>
              <w:rPr>
                <w:rFonts w:hint="eastAsia" w:ascii="宋体" w:hAnsi="宋体" w:eastAsia="宋体" w:cs="宋体"/>
                <w:bCs/>
                <w:sz w:val="21"/>
                <w:szCs w:val="21"/>
                <w:highlight w:val="none"/>
                <w:lang w:val="en-US" w:eastAsia="zh-CN"/>
              </w:rPr>
              <w:t>针对性</w:t>
            </w:r>
            <w:r>
              <w:rPr>
                <w:rFonts w:hint="eastAsia" w:ascii="宋体" w:hAnsi="宋体" w:eastAsia="宋体" w:cs="宋体"/>
                <w:sz w:val="21"/>
                <w:szCs w:val="21"/>
                <w:highlight w:val="none"/>
                <w:lang w:eastAsia="zh-CN"/>
              </w:rPr>
              <w:t>；</w:t>
            </w:r>
          </w:p>
          <w:p w14:paraId="1C36CA51">
            <w:pPr>
              <w:pStyle w:val="28"/>
              <w:keepNext w:val="0"/>
              <w:keepLines w:val="0"/>
              <w:pageBreakBefore w:val="0"/>
              <w:kinsoku/>
              <w:wordWrap/>
              <w:overflowPunct/>
              <w:topLinePunct w:val="0"/>
              <w:autoSpaceDE/>
              <w:autoSpaceDN/>
              <w:bidi w:val="0"/>
              <w:adjustRightInd/>
              <w:snapToGrid/>
              <w:spacing w:line="380" w:lineRule="exact"/>
              <w:ind w:firstLine="0" w:firstLineChars="0"/>
              <w:jc w:val="both"/>
              <w:textAlignment w:val="auto"/>
              <w:rPr>
                <w:rFonts w:hint="eastAsia" w:asciiTheme="minorEastAsia" w:hAnsiTheme="minorEastAsia" w:eastAsiaTheme="minorEastAsia" w:cstheme="minorEastAsia"/>
                <w:b/>
                <w:kern w:val="0"/>
                <w:sz w:val="21"/>
                <w:szCs w:val="21"/>
                <w:highlight w:val="none"/>
                <w:lang w:val="en-US" w:eastAsia="zh-CN" w:bidi="zh-CN"/>
              </w:rPr>
            </w:pPr>
            <w:r>
              <w:rPr>
                <w:rFonts w:hint="eastAsia" w:ascii="宋体" w:hAnsi="宋体" w:eastAsia="宋体" w:cs="宋体"/>
                <w:bCs/>
                <w:sz w:val="21"/>
                <w:szCs w:val="21"/>
                <w:highlight w:val="none"/>
                <w:lang w:val="en-US" w:eastAsia="zh-CN"/>
              </w:rPr>
              <w:t>三档（10.1～15 分）在满足二档的基础上，提供针对的服务方案，售后方案全面，方案表述清晰、完整，措施有效可行，可操作性强</w:t>
            </w:r>
            <w:r>
              <w:rPr>
                <w:rFonts w:hint="eastAsia" w:ascii="宋体" w:hAnsi="宋体" w:eastAsia="宋体" w:cs="宋体"/>
                <w:sz w:val="21"/>
                <w:szCs w:val="21"/>
                <w:highlight w:val="none"/>
                <w:lang w:eastAsia="zh-CN"/>
              </w:rPr>
              <w:t>。</w:t>
            </w:r>
          </w:p>
        </w:tc>
        <w:tc>
          <w:tcPr>
            <w:tcW w:w="975" w:type="dxa"/>
            <w:tcBorders>
              <w:top w:val="single" w:color="auto" w:sz="4" w:space="0"/>
              <w:left w:val="single" w:color="auto" w:sz="4" w:space="0"/>
              <w:bottom w:val="single" w:color="auto" w:sz="4" w:space="0"/>
              <w:right w:val="single" w:color="auto" w:sz="4" w:space="0"/>
            </w:tcBorders>
            <w:shd w:val="clear" w:color="auto" w:fill="auto"/>
            <w:vAlign w:val="center"/>
          </w:tcPr>
          <w:p w14:paraId="2863BBEF">
            <w:pPr>
              <w:pStyle w:val="28"/>
              <w:keepNext w:val="0"/>
              <w:keepLines w:val="0"/>
              <w:pageBreakBefore w:val="0"/>
              <w:kinsoku/>
              <w:wordWrap/>
              <w:overflowPunct/>
              <w:topLinePunct w:val="0"/>
              <w:autoSpaceDE/>
              <w:autoSpaceDN/>
              <w:bidi w:val="0"/>
              <w:adjustRightInd/>
              <w:snapToGrid/>
              <w:spacing w:line="380" w:lineRule="exact"/>
              <w:ind w:firstLine="0" w:firstLineChars="0"/>
              <w:jc w:val="both"/>
              <w:textAlignment w:val="auto"/>
              <w:rPr>
                <w:rFonts w:hint="eastAsia" w:ascii="宋体" w:hAnsi="宋体" w:eastAsia="宋体" w:cs="宋体"/>
                <w:bCs/>
                <w:sz w:val="21"/>
                <w:szCs w:val="21"/>
                <w:highlight w:val="none"/>
                <w:lang w:val="en-US" w:eastAsia="zh-CN"/>
              </w:rPr>
            </w:pPr>
          </w:p>
        </w:tc>
      </w:tr>
    </w:tbl>
    <w:p w14:paraId="31D0D00E">
      <w:pPr>
        <w:pStyle w:val="5"/>
        <w:rPr>
          <w:highlight w:val="none"/>
        </w:rPr>
        <w:sectPr>
          <w:pgSz w:w="11905" w:h="16838"/>
          <w:pgMar w:top="1417" w:right="1361" w:bottom="1417" w:left="1361" w:header="850" w:footer="992" w:gutter="0"/>
          <w:cols w:space="0" w:num="1"/>
          <w:rtlGutter w:val="0"/>
          <w:docGrid w:type="lines" w:linePitch="312" w:charSpace="0"/>
        </w:sectPr>
      </w:pPr>
    </w:p>
    <w:p w14:paraId="0DC5E029">
      <w:pPr>
        <w:snapToGrid w:val="0"/>
        <w:spacing w:before="156" w:beforeLines="50" w:after="50" w:line="440" w:lineRule="exact"/>
        <w:rPr>
          <w:b/>
          <w:bCs/>
          <w:sz w:val="24"/>
          <w:highlight w:val="none"/>
        </w:rPr>
      </w:pPr>
      <w:r>
        <w:rPr>
          <w:b/>
          <w:sz w:val="24"/>
          <w:highlight w:val="none"/>
        </w:rPr>
        <w:t>响应文件格式</w:t>
      </w:r>
    </w:p>
    <w:p w14:paraId="7420BA47">
      <w:pPr>
        <w:snapToGrid w:val="0"/>
        <w:spacing w:before="156" w:beforeLines="50" w:after="50" w:line="440" w:lineRule="exact"/>
        <w:jc w:val="center"/>
        <w:rPr>
          <w:sz w:val="24"/>
          <w:highlight w:val="none"/>
        </w:rPr>
      </w:pPr>
    </w:p>
    <w:p w14:paraId="7AD5BC94">
      <w:pPr>
        <w:snapToGrid w:val="0"/>
        <w:spacing w:before="50" w:after="50" w:line="440" w:lineRule="exact"/>
        <w:ind w:firstLine="138" w:firstLineChars="49"/>
        <w:jc w:val="center"/>
        <w:rPr>
          <w:b/>
          <w:sz w:val="28"/>
          <w:szCs w:val="28"/>
          <w:highlight w:val="none"/>
        </w:rPr>
      </w:pPr>
      <w:r>
        <w:rPr>
          <w:b/>
          <w:sz w:val="28"/>
          <w:szCs w:val="28"/>
          <w:highlight w:val="none"/>
        </w:rPr>
        <w:t>目录</w:t>
      </w:r>
    </w:p>
    <w:p w14:paraId="0BC3A8DE">
      <w:pPr>
        <w:pStyle w:val="50"/>
        <w:jc w:val="center"/>
        <w:rPr>
          <w:bCs w:val="0"/>
          <w:highlight w:val="none"/>
        </w:rPr>
      </w:pPr>
      <w:r>
        <w:rPr>
          <w:bCs w:val="0"/>
          <w:sz w:val="28"/>
          <w:szCs w:val="28"/>
          <w:highlight w:val="none"/>
        </w:rPr>
        <w:t>（参考格式）</w:t>
      </w:r>
    </w:p>
    <w:p w14:paraId="2094A8D0">
      <w:pPr>
        <w:snapToGrid w:val="0"/>
        <w:spacing w:before="50" w:after="50" w:line="440" w:lineRule="exact"/>
        <w:ind w:firstLine="118" w:firstLineChars="49"/>
        <w:jc w:val="center"/>
        <w:rPr>
          <w:b/>
          <w:sz w:val="24"/>
          <w:highlight w:val="none"/>
        </w:rPr>
      </w:pPr>
      <w:r>
        <w:rPr>
          <w:b/>
          <w:sz w:val="24"/>
          <w:highlight w:val="none"/>
        </w:rPr>
        <w:t>（需有页码）</w:t>
      </w:r>
    </w:p>
    <w:p w14:paraId="3802FD3D">
      <w:pPr>
        <w:pStyle w:val="4"/>
        <w:ind w:firstLine="420"/>
        <w:rPr>
          <w:highlight w:val="none"/>
        </w:rPr>
      </w:pPr>
    </w:p>
    <w:p w14:paraId="13144520">
      <w:pPr>
        <w:pStyle w:val="4"/>
        <w:ind w:firstLine="420"/>
        <w:rPr>
          <w:highlight w:val="none"/>
        </w:rPr>
      </w:pPr>
      <w:r>
        <w:rPr>
          <w:highlight w:val="none"/>
        </w:rPr>
        <w:t>一、投标承诺函</w:t>
      </w:r>
    </w:p>
    <w:p w14:paraId="1361125F">
      <w:pPr>
        <w:pStyle w:val="4"/>
        <w:ind w:firstLine="420"/>
        <w:rPr>
          <w:kern w:val="0"/>
          <w:highlight w:val="none"/>
        </w:rPr>
      </w:pPr>
      <w:r>
        <w:rPr>
          <w:highlight w:val="none"/>
        </w:rPr>
        <w:t>二、</w:t>
      </w:r>
      <w:r>
        <w:rPr>
          <w:kern w:val="0"/>
          <w:highlight w:val="none"/>
        </w:rPr>
        <w:t>报价一览表及报价明细表</w:t>
      </w:r>
    </w:p>
    <w:p w14:paraId="15256A5E">
      <w:pPr>
        <w:pStyle w:val="4"/>
        <w:ind w:firstLine="420"/>
        <w:rPr>
          <w:highlight w:val="none"/>
        </w:rPr>
      </w:pPr>
      <w:r>
        <w:rPr>
          <w:kern w:val="0"/>
          <w:highlight w:val="none"/>
        </w:rPr>
        <w:t>三、</w:t>
      </w:r>
      <w:r>
        <w:rPr>
          <w:highlight w:val="none"/>
        </w:rPr>
        <w:t>法定代表人（单位负责人）身份证明</w:t>
      </w:r>
    </w:p>
    <w:p w14:paraId="60686E01">
      <w:pPr>
        <w:pStyle w:val="4"/>
        <w:ind w:firstLine="420"/>
        <w:rPr>
          <w:highlight w:val="none"/>
        </w:rPr>
      </w:pPr>
      <w:r>
        <w:rPr>
          <w:highlight w:val="none"/>
        </w:rPr>
        <w:t>四、授权委托书</w:t>
      </w:r>
    </w:p>
    <w:p w14:paraId="323E2190">
      <w:pPr>
        <w:pStyle w:val="4"/>
        <w:ind w:firstLine="420"/>
        <w:rPr>
          <w:highlight w:val="none"/>
        </w:rPr>
      </w:pPr>
      <w:r>
        <w:rPr>
          <w:highlight w:val="none"/>
        </w:rPr>
        <w:t>五、磋商保证金</w:t>
      </w:r>
    </w:p>
    <w:p w14:paraId="0E43F741">
      <w:pPr>
        <w:pStyle w:val="4"/>
        <w:ind w:firstLine="420"/>
        <w:rPr>
          <w:highlight w:val="none"/>
        </w:rPr>
      </w:pPr>
      <w:r>
        <w:rPr>
          <w:highlight w:val="none"/>
        </w:rPr>
        <w:t>六、资格审查部分</w:t>
      </w:r>
    </w:p>
    <w:p w14:paraId="2EBE5E58">
      <w:pPr>
        <w:pStyle w:val="4"/>
        <w:ind w:firstLine="420"/>
        <w:rPr>
          <w:highlight w:val="none"/>
        </w:rPr>
      </w:pPr>
      <w:r>
        <w:rPr>
          <w:highlight w:val="none"/>
        </w:rPr>
        <w:t>七、商务技术部分</w:t>
      </w:r>
    </w:p>
    <w:p w14:paraId="5922134C">
      <w:pPr>
        <w:ind w:firstLine="420" w:firstLineChars="200"/>
        <w:rPr>
          <w:b/>
          <w:sz w:val="24"/>
          <w:highlight w:val="none"/>
        </w:rPr>
      </w:pPr>
      <w:r>
        <w:rPr>
          <w:highlight w:val="none"/>
        </w:rPr>
        <w:t>八、其他资料</w:t>
      </w:r>
    </w:p>
    <w:p w14:paraId="3C6B2DFF">
      <w:pPr>
        <w:ind w:firstLine="527" w:firstLineChars="250"/>
        <w:jc w:val="center"/>
        <w:rPr>
          <w:b/>
          <w:bCs/>
          <w:highlight w:val="none"/>
        </w:rPr>
        <w:sectPr>
          <w:pgSz w:w="11905" w:h="16838"/>
          <w:pgMar w:top="1417" w:right="1361" w:bottom="1417" w:left="1361" w:header="850" w:footer="992" w:gutter="0"/>
          <w:cols w:space="0" w:num="1"/>
          <w:rtlGutter w:val="0"/>
          <w:docGrid w:type="lines" w:linePitch="312" w:charSpace="0"/>
        </w:sectPr>
      </w:pPr>
    </w:p>
    <w:p w14:paraId="66C269F4">
      <w:pPr>
        <w:rPr>
          <w:b/>
          <w:bCs/>
          <w:highlight w:val="none"/>
        </w:rPr>
      </w:pPr>
      <w:bookmarkStart w:id="241" w:name="_Toc182274056"/>
      <w:bookmarkStart w:id="242" w:name="_Toc380054675"/>
      <w:bookmarkStart w:id="243" w:name="_Toc181958776"/>
      <w:bookmarkStart w:id="244" w:name="_Toc187243761"/>
      <w:bookmarkStart w:id="245" w:name="_Toc181778300"/>
      <w:bookmarkStart w:id="246" w:name="_Toc186917284"/>
      <w:bookmarkStart w:id="247" w:name="_Toc186101190"/>
      <w:bookmarkStart w:id="248" w:name="_Toc187120980"/>
      <w:bookmarkStart w:id="249" w:name="_Toc186382413"/>
      <w:bookmarkStart w:id="250" w:name="_Toc476524897"/>
      <w:bookmarkStart w:id="251" w:name="_Toc380762233"/>
      <w:bookmarkStart w:id="252" w:name="_Toc135752560"/>
      <w:bookmarkStart w:id="253" w:name="_Toc186915358"/>
      <w:bookmarkStart w:id="254" w:name="_Toc182273924"/>
      <w:bookmarkStart w:id="255" w:name="_Toc186917122"/>
      <w:bookmarkStart w:id="256" w:name="_Toc187060990"/>
      <w:bookmarkStart w:id="257" w:name="_Toc183712409"/>
      <w:r>
        <w:rPr>
          <w:b/>
          <w:bCs/>
          <w:highlight w:val="none"/>
        </w:rPr>
        <w:t>附件1、投标承诺函（格式）（必须提供）</w:t>
      </w:r>
    </w:p>
    <w:p w14:paraId="6F1F083E">
      <w:pPr>
        <w:spacing w:line="240" w:lineRule="exact"/>
        <w:jc w:val="center"/>
        <w:rPr>
          <w:sz w:val="32"/>
          <w:szCs w:val="32"/>
          <w:highlight w:val="none"/>
        </w:rPr>
      </w:pPr>
    </w:p>
    <w:p w14:paraId="293BCCC6">
      <w:pPr>
        <w:spacing w:line="400" w:lineRule="exact"/>
        <w:rPr>
          <w:highlight w:val="none"/>
        </w:rPr>
      </w:pPr>
      <w:r>
        <w:rPr>
          <w:highlight w:val="none"/>
        </w:rPr>
        <w:t>致：</w:t>
      </w:r>
      <w:r>
        <w:rPr>
          <w:highlight w:val="none"/>
          <w:u w:val="single"/>
        </w:rPr>
        <w:t xml:space="preserve">桂林银行股份有限公司 </w:t>
      </w:r>
    </w:p>
    <w:p w14:paraId="4302D7B8">
      <w:pPr>
        <w:spacing w:line="400" w:lineRule="exact"/>
        <w:ind w:firstLine="420"/>
        <w:rPr>
          <w:highlight w:val="none"/>
        </w:rPr>
      </w:pPr>
      <w:r>
        <w:rPr>
          <w:highlight w:val="none"/>
        </w:rPr>
        <w:t>根据贵行</w:t>
      </w:r>
      <w:r>
        <w:rPr>
          <w:highlight w:val="none"/>
          <w:u w:val="single"/>
        </w:rPr>
        <w:t xml:space="preserve"> </w:t>
      </w:r>
      <w:r>
        <w:rPr>
          <w:rFonts w:hint="eastAsia"/>
          <w:highlight w:val="none"/>
          <w:u w:val="single"/>
        </w:rPr>
        <w:t>桂林银行采购大模型AI智能体开发项目</w:t>
      </w:r>
      <w:r>
        <w:rPr>
          <w:highlight w:val="none"/>
          <w:u w:val="single"/>
        </w:rPr>
        <w:t xml:space="preserve"> </w:t>
      </w:r>
      <w:r>
        <w:rPr>
          <w:highlight w:val="none"/>
        </w:rPr>
        <w:t>磋商文件，项目编号</w:t>
      </w:r>
      <w:r>
        <w:rPr>
          <w:highlight w:val="none"/>
          <w:u w:val="single"/>
        </w:rPr>
        <w:t xml:space="preserve"> </w:t>
      </w:r>
      <w:r>
        <w:rPr>
          <w:rFonts w:hint="eastAsia"/>
          <w:highlight w:val="none"/>
          <w:u w:val="single"/>
        </w:rPr>
        <w:t>GYJC2025</w:t>
      </w:r>
      <w:r>
        <w:rPr>
          <w:rFonts w:hint="eastAsia"/>
          <w:highlight w:val="none"/>
          <w:u w:val="single"/>
          <w:lang w:val="en-US" w:eastAsia="zh-CN"/>
        </w:rPr>
        <w:t xml:space="preserve">114 </w:t>
      </w:r>
      <w:r>
        <w:rPr>
          <w:highlight w:val="none"/>
        </w:rPr>
        <w:t>，签字代表</w:t>
      </w:r>
      <w:r>
        <w:rPr>
          <w:highlight w:val="none"/>
          <w:u w:val="single"/>
        </w:rPr>
        <w:t xml:space="preserve">          </w:t>
      </w:r>
      <w:r>
        <w:rPr>
          <w:highlight w:val="none"/>
        </w:rPr>
        <w:t>（姓名）经正式授权并代表</w:t>
      </w:r>
      <w:r>
        <w:rPr>
          <w:rFonts w:hint="eastAsia"/>
          <w:highlight w:val="none"/>
        </w:rPr>
        <w:t>投标人</w:t>
      </w:r>
      <w:r>
        <w:rPr>
          <w:highlight w:val="none"/>
          <w:u w:val="single"/>
        </w:rPr>
        <w:t xml:space="preserve">         （</w:t>
      </w:r>
      <w:r>
        <w:rPr>
          <w:highlight w:val="none"/>
        </w:rPr>
        <w:t>单位名称），提交响应文件正本一份。</w:t>
      </w:r>
    </w:p>
    <w:p w14:paraId="48B25BE4">
      <w:pPr>
        <w:spacing w:line="400" w:lineRule="exact"/>
        <w:ind w:firstLine="420"/>
        <w:rPr>
          <w:highlight w:val="none"/>
        </w:rPr>
      </w:pPr>
      <w:r>
        <w:rPr>
          <w:highlight w:val="none"/>
        </w:rPr>
        <w:t>据此函，签字代表宣布同意如下：</w:t>
      </w:r>
    </w:p>
    <w:p w14:paraId="3E154086">
      <w:pPr>
        <w:spacing w:line="400" w:lineRule="exact"/>
        <w:ind w:firstLine="420" w:firstLineChars="200"/>
        <w:rPr>
          <w:highlight w:val="none"/>
        </w:rPr>
      </w:pPr>
      <w:r>
        <w:rPr>
          <w:highlight w:val="none"/>
        </w:rPr>
        <w:t>1、我方承诺已具备磋商文件规定的</w:t>
      </w:r>
      <w:r>
        <w:rPr>
          <w:rFonts w:hint="eastAsia"/>
          <w:highlight w:val="none"/>
        </w:rPr>
        <w:t>投标人</w:t>
      </w:r>
      <w:r>
        <w:rPr>
          <w:highlight w:val="none"/>
        </w:rPr>
        <w:t>资格条件。</w:t>
      </w:r>
    </w:p>
    <w:p w14:paraId="760F6A62">
      <w:pPr>
        <w:spacing w:line="400" w:lineRule="exact"/>
        <w:ind w:firstLine="420" w:firstLineChars="200"/>
        <w:rPr>
          <w:highlight w:val="none"/>
        </w:rPr>
      </w:pPr>
      <w:r>
        <w:rPr>
          <w:highlight w:val="none"/>
        </w:rPr>
        <w:t>2、我方已详细审核磋商文件，包括修改文件（如有的话）和有关附件，将自行承担因对全部磋商文件理解不正确或误解而产生的相应后果。</w:t>
      </w:r>
    </w:p>
    <w:p w14:paraId="0996D3E8">
      <w:pPr>
        <w:spacing w:line="400" w:lineRule="exact"/>
        <w:ind w:firstLine="420" w:firstLineChars="200"/>
        <w:rPr>
          <w:highlight w:val="none"/>
        </w:rPr>
      </w:pPr>
      <w:r>
        <w:rPr>
          <w:highlight w:val="none"/>
        </w:rPr>
        <w:t>3、如我方中标：</w:t>
      </w:r>
    </w:p>
    <w:p w14:paraId="6F3C24A2">
      <w:pPr>
        <w:spacing w:line="400" w:lineRule="exact"/>
        <w:ind w:firstLine="420"/>
        <w:rPr>
          <w:highlight w:val="none"/>
        </w:rPr>
      </w:pPr>
      <w:r>
        <w:rPr>
          <w:highlight w:val="none"/>
        </w:rPr>
        <w:t>（1）我方承诺在收到合作通知书后，在合作通知书规定的期限内与采购人签订合同。</w:t>
      </w:r>
    </w:p>
    <w:p w14:paraId="47D81C3C">
      <w:pPr>
        <w:spacing w:line="400" w:lineRule="exact"/>
        <w:ind w:firstLine="420"/>
        <w:rPr>
          <w:highlight w:val="none"/>
        </w:rPr>
      </w:pPr>
      <w:r>
        <w:rPr>
          <w:highlight w:val="none"/>
        </w:rPr>
        <w:t>（2）我方承诺按照磋商文件规定递交履约担保。</w:t>
      </w:r>
    </w:p>
    <w:p w14:paraId="3E84EAC0">
      <w:pPr>
        <w:spacing w:line="400" w:lineRule="exact"/>
        <w:ind w:firstLine="420"/>
        <w:rPr>
          <w:highlight w:val="none"/>
        </w:rPr>
      </w:pPr>
      <w:r>
        <w:rPr>
          <w:highlight w:val="none"/>
        </w:rPr>
        <w:t>（3）我方承诺本响应文件至本项目合同履行完毕止均保持有效，按磋商文件及政府采购法律、法规的规定履行合同责任和义务。</w:t>
      </w:r>
    </w:p>
    <w:p w14:paraId="24EB89DB">
      <w:pPr>
        <w:spacing w:line="400" w:lineRule="exact"/>
        <w:ind w:firstLine="420"/>
        <w:rPr>
          <w:highlight w:val="none"/>
        </w:rPr>
      </w:pPr>
      <w:r>
        <w:rPr>
          <w:highlight w:val="none"/>
        </w:rPr>
        <w:t>（4）我方郑重承诺：将全部满足磋商文件中的各项实质性要求，如果发现响应文件中另有与磋商文件中不一致的响应或没有响应，同意采购人有权要求</w:t>
      </w:r>
      <w:r>
        <w:rPr>
          <w:rFonts w:hint="eastAsia"/>
          <w:highlight w:val="none"/>
        </w:rPr>
        <w:t>我方</w:t>
      </w:r>
      <w:r>
        <w:rPr>
          <w:highlight w:val="none"/>
        </w:rPr>
        <w:t>按照磋商文件的要求提供设备或服务。</w:t>
      </w:r>
      <w:r>
        <w:rPr>
          <w:rFonts w:hint="eastAsia"/>
          <w:highlight w:val="none"/>
        </w:rPr>
        <w:t>我方</w:t>
      </w:r>
      <w:r>
        <w:rPr>
          <w:highlight w:val="none"/>
        </w:rPr>
        <w:t>并同意按照磋商文件的规定履行自己的责任和义务。</w:t>
      </w:r>
    </w:p>
    <w:p w14:paraId="7D0F57F5">
      <w:pPr>
        <w:spacing w:line="400" w:lineRule="exact"/>
        <w:ind w:firstLine="420"/>
        <w:rPr>
          <w:highlight w:val="none"/>
        </w:rPr>
      </w:pPr>
      <w:r>
        <w:rPr>
          <w:highlight w:val="none"/>
        </w:rPr>
        <w:t>（5）我方已详细审查全部磋商文件，包括修改文件（如有的话）以及全部参考资料和有关附件。我们完全理解并同意放弃对这方面有不明及误解的权利。</w:t>
      </w:r>
    </w:p>
    <w:p w14:paraId="4DF37800">
      <w:pPr>
        <w:spacing w:line="400" w:lineRule="exact"/>
        <w:ind w:firstLine="420"/>
        <w:rPr>
          <w:highlight w:val="none"/>
        </w:rPr>
      </w:pPr>
      <w:r>
        <w:rPr>
          <w:highlight w:val="none"/>
        </w:rPr>
        <w:t>（6）我方响应文件有效期为投标截止日期后</w:t>
      </w:r>
      <w:r>
        <w:rPr>
          <w:highlight w:val="none"/>
          <w:u w:val="single"/>
        </w:rPr>
        <w:t xml:space="preserve"> </w:t>
      </w:r>
      <w:r>
        <w:rPr>
          <w:rFonts w:hint="eastAsia"/>
          <w:highlight w:val="none"/>
          <w:u w:val="single"/>
        </w:rPr>
        <w:t>60</w:t>
      </w:r>
      <w:r>
        <w:rPr>
          <w:highlight w:val="none"/>
          <w:u w:val="single"/>
        </w:rPr>
        <w:t xml:space="preserve"> </w:t>
      </w:r>
      <w:r>
        <w:rPr>
          <w:highlight w:val="none"/>
        </w:rPr>
        <w:t>日历天，在投标有效期内不撤销投标文件</w:t>
      </w:r>
      <w:r>
        <w:rPr>
          <w:rFonts w:hint="eastAsia"/>
          <w:highlight w:val="none"/>
        </w:rPr>
        <w:t>，若我方中标则响应文件有效期自响应文件提交截止之日起至合履行完毕止均应保持有效</w:t>
      </w:r>
      <w:r>
        <w:rPr>
          <w:highlight w:val="none"/>
        </w:rPr>
        <w:t>。</w:t>
      </w:r>
    </w:p>
    <w:p w14:paraId="4EAC8BF6">
      <w:pPr>
        <w:spacing w:line="400" w:lineRule="exact"/>
        <w:ind w:firstLine="420"/>
        <w:rPr>
          <w:highlight w:val="none"/>
        </w:rPr>
      </w:pPr>
      <w:r>
        <w:rPr>
          <w:highlight w:val="none"/>
        </w:rPr>
        <w:t>与本磋商有关的正式通讯地址为：</w:t>
      </w:r>
    </w:p>
    <w:p w14:paraId="50C85518">
      <w:pPr>
        <w:spacing w:line="400" w:lineRule="exact"/>
        <w:ind w:firstLine="420"/>
        <w:rPr>
          <w:highlight w:val="none"/>
          <w:u w:val="single"/>
        </w:rPr>
      </w:pPr>
      <w:r>
        <w:rPr>
          <w:highlight w:val="none"/>
        </w:rPr>
        <w:t>地址：邮编：电话、传真：</w:t>
      </w:r>
    </w:p>
    <w:p w14:paraId="03E02427">
      <w:pPr>
        <w:spacing w:line="400" w:lineRule="exact"/>
        <w:ind w:firstLine="420"/>
        <w:rPr>
          <w:highlight w:val="none"/>
        </w:rPr>
      </w:pPr>
      <w:r>
        <w:rPr>
          <w:highlight w:val="none"/>
        </w:rPr>
        <w:t>开户名称：</w:t>
      </w:r>
      <w:r>
        <w:rPr>
          <w:highlight w:val="none"/>
          <w:u w:val="single"/>
        </w:rPr>
        <w:t xml:space="preserve">               </w:t>
      </w:r>
    </w:p>
    <w:p w14:paraId="7CE42AE1">
      <w:pPr>
        <w:spacing w:line="400" w:lineRule="exact"/>
        <w:ind w:firstLine="420"/>
        <w:rPr>
          <w:highlight w:val="none"/>
        </w:rPr>
      </w:pPr>
      <w:r>
        <w:rPr>
          <w:highlight w:val="none"/>
        </w:rPr>
        <w:t>开户银行：</w:t>
      </w:r>
      <w:r>
        <w:rPr>
          <w:highlight w:val="none"/>
          <w:u w:val="single"/>
        </w:rPr>
        <w:t xml:space="preserve">             </w:t>
      </w:r>
    </w:p>
    <w:p w14:paraId="51A604B5">
      <w:pPr>
        <w:spacing w:line="400" w:lineRule="exact"/>
        <w:ind w:firstLine="420"/>
        <w:rPr>
          <w:highlight w:val="none"/>
        </w:rPr>
      </w:pPr>
      <w:r>
        <w:rPr>
          <w:highlight w:val="none"/>
        </w:rPr>
        <w:t>账号：</w:t>
      </w:r>
      <w:r>
        <w:rPr>
          <w:highlight w:val="none"/>
          <w:u w:val="single"/>
        </w:rPr>
        <w:t xml:space="preserve">             </w:t>
      </w:r>
    </w:p>
    <w:p w14:paraId="568C887C">
      <w:pPr>
        <w:spacing w:line="400" w:lineRule="exact"/>
        <w:ind w:firstLine="420"/>
        <w:rPr>
          <w:highlight w:val="none"/>
        </w:rPr>
      </w:pPr>
      <w:r>
        <w:rPr>
          <w:rFonts w:hint="eastAsia"/>
          <w:highlight w:val="none"/>
        </w:rPr>
        <w:t>投标人</w:t>
      </w:r>
      <w:r>
        <w:rPr>
          <w:highlight w:val="none"/>
        </w:rPr>
        <w:t>（公章）：</w:t>
      </w:r>
      <w:r>
        <w:rPr>
          <w:highlight w:val="none"/>
          <w:u w:val="single"/>
        </w:rPr>
        <w:t xml:space="preserve">          </w:t>
      </w:r>
    </w:p>
    <w:p w14:paraId="0695FE47">
      <w:pPr>
        <w:spacing w:line="400" w:lineRule="exact"/>
        <w:ind w:firstLine="420"/>
        <w:rPr>
          <w:highlight w:val="none"/>
          <w:u w:val="single"/>
        </w:rPr>
      </w:pPr>
      <w:r>
        <w:rPr>
          <w:highlight w:val="none"/>
        </w:rPr>
        <w:t>法定代表人</w:t>
      </w:r>
      <w:r>
        <w:rPr>
          <w:rFonts w:hint="eastAsia"/>
          <w:highlight w:val="none"/>
        </w:rPr>
        <w:t>（</w:t>
      </w:r>
      <w:r>
        <w:rPr>
          <w:highlight w:val="none"/>
        </w:rPr>
        <w:t>签</w:t>
      </w:r>
      <w:r>
        <w:rPr>
          <w:rFonts w:hint="eastAsia"/>
          <w:highlight w:val="none"/>
        </w:rPr>
        <w:t>字或签章）</w:t>
      </w:r>
      <w:r>
        <w:rPr>
          <w:highlight w:val="none"/>
        </w:rPr>
        <w:t>：</w:t>
      </w:r>
    </w:p>
    <w:p w14:paraId="2A261B86">
      <w:pPr>
        <w:spacing w:line="400" w:lineRule="exact"/>
        <w:ind w:firstLine="420"/>
        <w:rPr>
          <w:highlight w:val="none"/>
        </w:rPr>
      </w:pPr>
      <w:r>
        <w:rPr>
          <w:highlight w:val="none"/>
        </w:rPr>
        <w:t>磋商日期：</w:t>
      </w:r>
    </w:p>
    <w:p w14:paraId="4853FC14">
      <w:pPr>
        <w:spacing w:line="400" w:lineRule="exact"/>
        <w:ind w:firstLine="420" w:firstLineChars="200"/>
        <w:rPr>
          <w:highlight w:val="none"/>
        </w:rPr>
      </w:pPr>
      <w:r>
        <w:rPr>
          <w:highlight w:val="none"/>
        </w:rPr>
        <w:t>注：未按照本报价函（格式）要求填报的报价函将被视为非实质性响应磋商要求，从而导致该磋商被拒绝。</w:t>
      </w:r>
    </w:p>
    <w:p w14:paraId="3F760ADB">
      <w:pPr>
        <w:pStyle w:val="9"/>
        <w:jc w:val="center"/>
        <w:rPr>
          <w:rFonts w:ascii="Times New Roman" w:hAnsi="Times New Roman" w:eastAsia="宋体" w:cs="Times New Roman"/>
          <w:bCs w:val="0"/>
          <w:kern w:val="0"/>
          <w:sz w:val="21"/>
          <w:szCs w:val="21"/>
          <w:highlight w:val="none"/>
        </w:rPr>
        <w:sectPr>
          <w:pgSz w:w="11905" w:h="16838"/>
          <w:pgMar w:top="1417" w:right="1361" w:bottom="1417" w:left="1361" w:header="850" w:footer="992" w:gutter="0"/>
          <w:cols w:space="0" w:num="1"/>
          <w:rtlGutter w:val="0"/>
          <w:docGrid w:type="lines" w:linePitch="312" w:charSpace="0"/>
        </w:sectPr>
      </w:pPr>
    </w:p>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14:paraId="390466FE">
      <w:pPr>
        <w:pStyle w:val="9"/>
        <w:spacing w:line="400" w:lineRule="exact"/>
        <w:rPr>
          <w:rFonts w:ascii="Times New Roman" w:hAnsi="Times New Roman" w:eastAsia="宋体" w:cs="Times New Roman"/>
          <w:bCs w:val="0"/>
          <w:kern w:val="0"/>
          <w:sz w:val="21"/>
          <w:szCs w:val="21"/>
          <w:highlight w:val="none"/>
        </w:rPr>
      </w:pPr>
      <w:r>
        <w:rPr>
          <w:rFonts w:ascii="Times New Roman" w:hAnsi="Times New Roman" w:eastAsia="宋体" w:cs="Times New Roman"/>
          <w:bCs w:val="0"/>
          <w:kern w:val="0"/>
          <w:sz w:val="21"/>
          <w:szCs w:val="21"/>
          <w:highlight w:val="none"/>
        </w:rPr>
        <w:t>附件2、报价表（必须提供）</w:t>
      </w:r>
    </w:p>
    <w:p w14:paraId="3AD73365">
      <w:pPr>
        <w:pStyle w:val="20"/>
        <w:spacing w:line="400" w:lineRule="exact"/>
        <w:jc w:val="center"/>
        <w:rPr>
          <w:sz w:val="24"/>
          <w:szCs w:val="24"/>
          <w:highlight w:val="none"/>
        </w:rPr>
      </w:pPr>
      <w:r>
        <w:rPr>
          <w:b/>
          <w:kern w:val="0"/>
          <w:highlight w:val="none"/>
        </w:rPr>
        <w:t>报价表</w:t>
      </w:r>
    </w:p>
    <w:p w14:paraId="75959400">
      <w:pPr>
        <w:pStyle w:val="20"/>
        <w:spacing w:line="400" w:lineRule="exact"/>
        <w:rPr>
          <w:sz w:val="24"/>
          <w:szCs w:val="24"/>
          <w:highlight w:val="none"/>
        </w:rPr>
      </w:pPr>
      <w:r>
        <w:rPr>
          <w:sz w:val="24"/>
          <w:szCs w:val="24"/>
          <w:highlight w:val="none"/>
        </w:rPr>
        <w:t>投标单位名称：</w:t>
      </w:r>
    </w:p>
    <w:p w14:paraId="48539CAD">
      <w:pPr>
        <w:pStyle w:val="20"/>
        <w:spacing w:line="400" w:lineRule="exact"/>
        <w:rPr>
          <w:sz w:val="24"/>
          <w:szCs w:val="24"/>
          <w:highlight w:val="none"/>
        </w:rPr>
      </w:pPr>
      <w:r>
        <w:rPr>
          <w:sz w:val="24"/>
          <w:szCs w:val="24"/>
          <w:highlight w:val="none"/>
        </w:rPr>
        <w:t>项目名称：</w:t>
      </w:r>
      <w:r>
        <w:rPr>
          <w:rFonts w:hint="eastAsia"/>
          <w:sz w:val="24"/>
          <w:szCs w:val="24"/>
          <w:highlight w:val="none"/>
        </w:rPr>
        <w:t>桂林银行采购大模型AI智能体开发项目</w:t>
      </w:r>
    </w:p>
    <w:p w14:paraId="244E6534">
      <w:pPr>
        <w:pStyle w:val="20"/>
        <w:spacing w:line="400" w:lineRule="exact"/>
        <w:rPr>
          <w:rFonts w:hint="default" w:eastAsia="宋体"/>
          <w:sz w:val="24"/>
          <w:szCs w:val="24"/>
          <w:highlight w:val="none"/>
          <w:lang w:val="en-US" w:eastAsia="zh-CN"/>
        </w:rPr>
      </w:pPr>
      <w:r>
        <w:rPr>
          <w:sz w:val="24"/>
          <w:szCs w:val="24"/>
          <w:highlight w:val="none"/>
        </w:rPr>
        <w:t>项目编号：GYJC20</w:t>
      </w:r>
      <w:r>
        <w:rPr>
          <w:rFonts w:hint="eastAsia"/>
          <w:sz w:val="24"/>
          <w:szCs w:val="24"/>
          <w:highlight w:val="none"/>
        </w:rPr>
        <w:t>51</w:t>
      </w:r>
      <w:r>
        <w:rPr>
          <w:rFonts w:hint="eastAsia"/>
          <w:sz w:val="24"/>
          <w:szCs w:val="24"/>
          <w:highlight w:val="none"/>
          <w:lang w:val="en-US" w:eastAsia="zh-CN"/>
        </w:rPr>
        <w:t>14</w:t>
      </w:r>
    </w:p>
    <w:tbl>
      <w:tblPr>
        <w:tblStyle w:val="42"/>
        <w:tblW w:w="938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99"/>
        <w:gridCol w:w="1725"/>
        <w:gridCol w:w="900"/>
        <w:gridCol w:w="1575"/>
        <w:gridCol w:w="1455"/>
        <w:gridCol w:w="1319"/>
        <w:gridCol w:w="1710"/>
      </w:tblGrid>
      <w:tr w14:paraId="3E68DE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699" w:type="dxa"/>
            <w:shd w:val="clear" w:color="000000" w:fill="auto"/>
            <w:vAlign w:val="center"/>
          </w:tcPr>
          <w:p w14:paraId="08A203C0">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序号</w:t>
            </w:r>
          </w:p>
        </w:tc>
        <w:tc>
          <w:tcPr>
            <w:tcW w:w="1725" w:type="dxa"/>
            <w:shd w:val="clear" w:color="000000" w:fill="auto"/>
            <w:vAlign w:val="center"/>
          </w:tcPr>
          <w:p w14:paraId="1793E208">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项目内容</w:t>
            </w:r>
          </w:p>
        </w:tc>
        <w:tc>
          <w:tcPr>
            <w:tcW w:w="900" w:type="dxa"/>
            <w:shd w:val="clear" w:color="000000" w:fill="auto"/>
            <w:vAlign w:val="center"/>
          </w:tcPr>
          <w:p w14:paraId="0FA8C887">
            <w:pPr>
              <w:widowControl/>
              <w:spacing w:line="380" w:lineRule="exact"/>
              <w:jc w:val="center"/>
              <w:rPr>
                <w:rFonts w:hint="eastAsia"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数量</w:t>
            </w:r>
          </w:p>
        </w:tc>
        <w:tc>
          <w:tcPr>
            <w:tcW w:w="1575" w:type="dxa"/>
            <w:shd w:val="clear" w:color="000000" w:fill="auto"/>
            <w:vAlign w:val="center"/>
          </w:tcPr>
          <w:p w14:paraId="5362DD2B">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响应</w:t>
            </w:r>
            <w:r>
              <w:rPr>
                <w:rFonts w:hint="eastAsia" w:asciiTheme="minorEastAsia" w:hAnsiTheme="minorEastAsia" w:eastAsiaTheme="minorEastAsia" w:cstheme="minorEastAsia"/>
                <w:spacing w:val="-1"/>
                <w:sz w:val="24"/>
                <w:szCs w:val="24"/>
                <w:highlight w:val="none"/>
                <w:lang w:val="en-US" w:eastAsia="zh-CN"/>
              </w:rPr>
              <w:t>单</w:t>
            </w:r>
            <w:r>
              <w:rPr>
                <w:rFonts w:hint="eastAsia" w:asciiTheme="minorEastAsia" w:hAnsiTheme="minorEastAsia" w:eastAsiaTheme="minorEastAsia" w:cstheme="minorEastAsia"/>
                <w:spacing w:val="-1"/>
                <w:sz w:val="24"/>
                <w:szCs w:val="24"/>
                <w:highlight w:val="none"/>
              </w:rPr>
              <w:t>价（元）（含税）</w:t>
            </w:r>
          </w:p>
        </w:tc>
        <w:tc>
          <w:tcPr>
            <w:tcW w:w="1455" w:type="dxa"/>
            <w:shd w:val="clear" w:color="000000" w:fill="auto"/>
            <w:vAlign w:val="center"/>
          </w:tcPr>
          <w:p w14:paraId="598EB297">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小计（元）（含税）</w:t>
            </w:r>
          </w:p>
        </w:tc>
        <w:tc>
          <w:tcPr>
            <w:tcW w:w="1319" w:type="dxa"/>
            <w:shd w:val="clear" w:color="000000" w:fill="auto"/>
            <w:vAlign w:val="center"/>
          </w:tcPr>
          <w:p w14:paraId="374279D3">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备注（报价说明）</w:t>
            </w:r>
          </w:p>
        </w:tc>
        <w:tc>
          <w:tcPr>
            <w:tcW w:w="1710" w:type="dxa"/>
            <w:shd w:val="clear" w:color="000000" w:fill="auto"/>
            <w:vAlign w:val="center"/>
          </w:tcPr>
          <w:p w14:paraId="6FA76ACE">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最高投标单价（含税）</w:t>
            </w:r>
          </w:p>
        </w:tc>
      </w:tr>
      <w:tr w14:paraId="41234F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699" w:type="dxa"/>
            <w:vAlign w:val="center"/>
          </w:tcPr>
          <w:p w14:paraId="0E588EF7">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1</w:t>
            </w:r>
          </w:p>
        </w:tc>
        <w:tc>
          <w:tcPr>
            <w:tcW w:w="1725" w:type="dxa"/>
            <w:vAlign w:val="center"/>
          </w:tcPr>
          <w:p w14:paraId="4B1D6859">
            <w:pPr>
              <w:pStyle w:val="5"/>
              <w:keepNext w:val="0"/>
              <w:keepLines w:val="0"/>
              <w:pageBreakBefore w:val="0"/>
              <w:kinsoku/>
              <w:wordWrap/>
              <w:overflowPunct/>
              <w:topLinePunct w:val="0"/>
              <w:bidi w:val="0"/>
              <w:snapToGrid/>
              <w:spacing w:after="0" w:line="380" w:lineRule="exact"/>
              <w:jc w:val="center"/>
              <w:textAlignment w:val="auto"/>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明确需求费用</w:t>
            </w:r>
          </w:p>
        </w:tc>
        <w:tc>
          <w:tcPr>
            <w:tcW w:w="900" w:type="dxa"/>
            <w:vAlign w:val="center"/>
          </w:tcPr>
          <w:p w14:paraId="204744C6">
            <w:pPr>
              <w:widowControl/>
              <w:spacing w:line="380" w:lineRule="exact"/>
              <w:jc w:val="center"/>
              <w:rPr>
                <w:rFonts w:hint="eastAsia"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1</w:t>
            </w:r>
          </w:p>
        </w:tc>
        <w:tc>
          <w:tcPr>
            <w:tcW w:w="1575" w:type="dxa"/>
            <w:vAlign w:val="center"/>
          </w:tcPr>
          <w:p w14:paraId="75596110">
            <w:pPr>
              <w:widowControl/>
              <w:spacing w:line="380" w:lineRule="exact"/>
              <w:jc w:val="center"/>
              <w:rPr>
                <w:rFonts w:asciiTheme="minorEastAsia" w:hAnsiTheme="minorEastAsia" w:eastAsiaTheme="minorEastAsia" w:cstheme="minorEastAsia"/>
                <w:spacing w:val="-1"/>
                <w:sz w:val="24"/>
                <w:szCs w:val="24"/>
                <w:highlight w:val="none"/>
              </w:rPr>
            </w:pPr>
          </w:p>
        </w:tc>
        <w:tc>
          <w:tcPr>
            <w:tcW w:w="1455" w:type="dxa"/>
            <w:vAlign w:val="center"/>
          </w:tcPr>
          <w:p w14:paraId="75E68E67">
            <w:pPr>
              <w:pStyle w:val="5"/>
              <w:keepNext w:val="0"/>
              <w:keepLines w:val="0"/>
              <w:pageBreakBefore w:val="0"/>
              <w:kinsoku/>
              <w:wordWrap/>
              <w:overflowPunct/>
              <w:topLinePunct w:val="0"/>
              <w:bidi w:val="0"/>
              <w:snapToGrid/>
              <w:spacing w:after="0" w:line="380" w:lineRule="exact"/>
              <w:jc w:val="center"/>
              <w:textAlignment w:val="auto"/>
              <w:rPr>
                <w:rFonts w:hint="eastAsia"/>
                <w:highlight w:val="none"/>
                <w:lang w:val="en-US" w:eastAsia="zh-CN"/>
              </w:rPr>
            </w:pPr>
          </w:p>
        </w:tc>
        <w:tc>
          <w:tcPr>
            <w:tcW w:w="1319" w:type="dxa"/>
            <w:vAlign w:val="center"/>
          </w:tcPr>
          <w:p w14:paraId="251302BD">
            <w:pPr>
              <w:pStyle w:val="5"/>
              <w:keepNext w:val="0"/>
              <w:keepLines w:val="0"/>
              <w:pageBreakBefore w:val="0"/>
              <w:kinsoku/>
              <w:wordWrap/>
              <w:overflowPunct/>
              <w:topLinePunct w:val="0"/>
              <w:bidi w:val="0"/>
              <w:snapToGrid/>
              <w:spacing w:after="0" w:line="380" w:lineRule="exact"/>
              <w:jc w:val="center"/>
              <w:textAlignment w:val="auto"/>
              <w:rPr>
                <w:rFonts w:hint="eastAsia"/>
                <w:highlight w:val="none"/>
                <w:lang w:val="en-US" w:eastAsia="zh-CN"/>
              </w:rPr>
            </w:pPr>
          </w:p>
        </w:tc>
        <w:tc>
          <w:tcPr>
            <w:tcW w:w="1710" w:type="dxa"/>
            <w:vAlign w:val="center"/>
          </w:tcPr>
          <w:p w14:paraId="5BDAD3EA">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704,000元</w:t>
            </w:r>
          </w:p>
        </w:tc>
      </w:tr>
      <w:tr w14:paraId="165FCD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5" w:hRule="atLeast"/>
          <w:jc w:val="center"/>
        </w:trPr>
        <w:tc>
          <w:tcPr>
            <w:tcW w:w="699" w:type="dxa"/>
            <w:vAlign w:val="center"/>
          </w:tcPr>
          <w:p w14:paraId="0C4616DB">
            <w:pPr>
              <w:widowControl/>
              <w:spacing w:line="380" w:lineRule="exact"/>
              <w:jc w:val="center"/>
              <w:rPr>
                <w:rFonts w:hint="eastAsia"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2</w:t>
            </w:r>
          </w:p>
        </w:tc>
        <w:tc>
          <w:tcPr>
            <w:tcW w:w="1725" w:type="dxa"/>
            <w:vAlign w:val="center"/>
          </w:tcPr>
          <w:p w14:paraId="35805CEA">
            <w:pPr>
              <w:pStyle w:val="5"/>
              <w:keepNext w:val="0"/>
              <w:keepLines w:val="0"/>
              <w:pageBreakBefore w:val="0"/>
              <w:kinsoku/>
              <w:wordWrap/>
              <w:overflowPunct/>
              <w:topLinePunct w:val="0"/>
              <w:bidi w:val="0"/>
              <w:snapToGrid/>
              <w:spacing w:after="0" w:line="380" w:lineRule="exact"/>
              <w:jc w:val="center"/>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新增零散需求费用</w:t>
            </w:r>
          </w:p>
        </w:tc>
        <w:tc>
          <w:tcPr>
            <w:tcW w:w="900" w:type="dxa"/>
            <w:vAlign w:val="center"/>
          </w:tcPr>
          <w:p w14:paraId="7E073D29">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2个人月</w:t>
            </w:r>
          </w:p>
        </w:tc>
        <w:tc>
          <w:tcPr>
            <w:tcW w:w="1575" w:type="dxa"/>
            <w:vAlign w:val="center"/>
          </w:tcPr>
          <w:p w14:paraId="0823C53F">
            <w:pPr>
              <w:widowControl/>
              <w:spacing w:line="380" w:lineRule="exact"/>
              <w:jc w:val="center"/>
              <w:rPr>
                <w:rFonts w:asciiTheme="minorEastAsia" w:hAnsiTheme="minorEastAsia" w:eastAsiaTheme="minorEastAsia" w:cstheme="minorEastAsia"/>
                <w:spacing w:val="-1"/>
                <w:sz w:val="24"/>
                <w:szCs w:val="24"/>
                <w:highlight w:val="none"/>
              </w:rPr>
            </w:pPr>
          </w:p>
        </w:tc>
        <w:tc>
          <w:tcPr>
            <w:tcW w:w="1455" w:type="dxa"/>
            <w:vAlign w:val="center"/>
          </w:tcPr>
          <w:p w14:paraId="329CBBB8">
            <w:pPr>
              <w:pStyle w:val="5"/>
              <w:keepNext w:val="0"/>
              <w:keepLines w:val="0"/>
              <w:pageBreakBefore w:val="0"/>
              <w:kinsoku/>
              <w:wordWrap/>
              <w:overflowPunct/>
              <w:topLinePunct w:val="0"/>
              <w:bidi w:val="0"/>
              <w:snapToGrid/>
              <w:spacing w:after="0" w:line="380" w:lineRule="exact"/>
              <w:jc w:val="center"/>
              <w:textAlignment w:val="auto"/>
              <w:rPr>
                <w:rFonts w:asciiTheme="minorEastAsia" w:hAnsiTheme="minorEastAsia" w:eastAsiaTheme="minorEastAsia" w:cstheme="minorEastAsia"/>
                <w:spacing w:val="-1"/>
                <w:sz w:val="24"/>
                <w:szCs w:val="24"/>
                <w:highlight w:val="none"/>
              </w:rPr>
            </w:pPr>
          </w:p>
        </w:tc>
        <w:tc>
          <w:tcPr>
            <w:tcW w:w="1319" w:type="dxa"/>
            <w:vAlign w:val="center"/>
          </w:tcPr>
          <w:p w14:paraId="0E989F6E">
            <w:pPr>
              <w:pStyle w:val="5"/>
              <w:keepNext w:val="0"/>
              <w:keepLines w:val="0"/>
              <w:pageBreakBefore w:val="0"/>
              <w:kinsoku/>
              <w:wordWrap/>
              <w:overflowPunct/>
              <w:topLinePunct w:val="0"/>
              <w:bidi w:val="0"/>
              <w:snapToGrid/>
              <w:spacing w:after="0" w:line="380" w:lineRule="exact"/>
              <w:jc w:val="center"/>
              <w:textAlignment w:val="auto"/>
              <w:rPr>
                <w:rFonts w:asciiTheme="minorEastAsia" w:hAnsiTheme="minorEastAsia" w:eastAsiaTheme="minorEastAsia" w:cstheme="minorEastAsia"/>
                <w:spacing w:val="-1"/>
                <w:sz w:val="24"/>
                <w:szCs w:val="24"/>
                <w:highlight w:val="none"/>
              </w:rPr>
            </w:pPr>
          </w:p>
        </w:tc>
        <w:tc>
          <w:tcPr>
            <w:tcW w:w="1710" w:type="dxa"/>
            <w:vAlign w:val="center"/>
          </w:tcPr>
          <w:p w14:paraId="4DF1D1F0">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32,000元/人月</w:t>
            </w:r>
          </w:p>
        </w:tc>
      </w:tr>
      <w:tr w14:paraId="69BE28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9383" w:type="dxa"/>
            <w:gridSpan w:val="7"/>
            <w:vAlign w:val="center"/>
          </w:tcPr>
          <w:p w14:paraId="3A9A170E">
            <w:pPr>
              <w:widowControl/>
              <w:spacing w:line="380" w:lineRule="exact"/>
              <w:jc w:val="left"/>
              <w:rPr>
                <w:rFonts w:asciiTheme="minorEastAsia" w:hAnsiTheme="minorEastAsia" w:eastAsiaTheme="minorEastAsia" w:cstheme="minorEastAsia"/>
                <w:spacing w:val="-1"/>
                <w:sz w:val="24"/>
                <w:szCs w:val="24"/>
                <w:highlight w:val="none"/>
              </w:rPr>
            </w:pPr>
            <w:r>
              <w:rPr>
                <w:rFonts w:hint="eastAsia" w:ascii="宋体" w:hAnsi="宋体" w:eastAsia="宋体" w:cs="宋体"/>
                <w:color w:val="auto"/>
                <w:sz w:val="24"/>
                <w:szCs w:val="24"/>
                <w:highlight w:val="none"/>
              </w:rPr>
              <w:t>合计金额小写：¥          （大写：人民币                     ）</w:t>
            </w:r>
          </w:p>
        </w:tc>
      </w:tr>
      <w:tr w14:paraId="417FAD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9" w:hRule="atLeast"/>
          <w:jc w:val="center"/>
        </w:trPr>
        <w:tc>
          <w:tcPr>
            <w:tcW w:w="2424" w:type="dxa"/>
            <w:gridSpan w:val="2"/>
            <w:vAlign w:val="center"/>
          </w:tcPr>
          <w:p w14:paraId="65608F3C">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服务期</w:t>
            </w:r>
          </w:p>
        </w:tc>
        <w:tc>
          <w:tcPr>
            <w:tcW w:w="6959" w:type="dxa"/>
            <w:gridSpan w:val="5"/>
            <w:vAlign w:val="center"/>
          </w:tcPr>
          <w:p w14:paraId="15E8D41C">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p>
        </w:tc>
      </w:tr>
      <w:tr w14:paraId="08C3EE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2424" w:type="dxa"/>
            <w:gridSpan w:val="2"/>
            <w:vAlign w:val="center"/>
          </w:tcPr>
          <w:p w14:paraId="2631C135">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免费维保期</w:t>
            </w:r>
          </w:p>
        </w:tc>
        <w:tc>
          <w:tcPr>
            <w:tcW w:w="6959" w:type="dxa"/>
            <w:gridSpan w:val="5"/>
            <w:vAlign w:val="center"/>
          </w:tcPr>
          <w:p w14:paraId="5863A9DB">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p>
        </w:tc>
      </w:tr>
      <w:tr w14:paraId="008F04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5" w:hRule="atLeast"/>
          <w:jc w:val="center"/>
        </w:trPr>
        <w:tc>
          <w:tcPr>
            <w:tcW w:w="2424" w:type="dxa"/>
            <w:gridSpan w:val="2"/>
            <w:vAlign w:val="center"/>
          </w:tcPr>
          <w:p w14:paraId="59CEB3AA">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免费维保期满后年维护费报价</w:t>
            </w:r>
          </w:p>
        </w:tc>
        <w:tc>
          <w:tcPr>
            <w:tcW w:w="5249" w:type="dxa"/>
            <w:gridSpan w:val="4"/>
            <w:vAlign w:val="center"/>
          </w:tcPr>
          <w:p w14:paraId="47B0D1AE">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p>
        </w:tc>
        <w:tc>
          <w:tcPr>
            <w:tcW w:w="1710" w:type="dxa"/>
            <w:vAlign w:val="center"/>
          </w:tcPr>
          <w:p w14:paraId="5D815D4A">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r>
              <w:rPr>
                <w:rFonts w:hint="eastAsia"/>
                <w:highlight w:val="none"/>
                <w:lang w:val="en-US" w:eastAsia="zh-CN"/>
              </w:rPr>
              <w:t>不高于合同金额的10%</w:t>
            </w:r>
          </w:p>
        </w:tc>
      </w:tr>
      <w:tr w14:paraId="0BE70C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9" w:hRule="atLeast"/>
          <w:jc w:val="center"/>
        </w:trPr>
        <w:tc>
          <w:tcPr>
            <w:tcW w:w="2424" w:type="dxa"/>
            <w:gridSpan w:val="2"/>
            <w:vAlign w:val="center"/>
          </w:tcPr>
          <w:p w14:paraId="189DC63E">
            <w:pPr>
              <w:widowControl/>
              <w:spacing w:line="380" w:lineRule="exact"/>
              <w:jc w:val="center"/>
              <w:rPr>
                <w:rFonts w:hint="eastAsia"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其  他</w:t>
            </w:r>
          </w:p>
        </w:tc>
        <w:tc>
          <w:tcPr>
            <w:tcW w:w="6959" w:type="dxa"/>
            <w:gridSpan w:val="5"/>
            <w:vAlign w:val="center"/>
          </w:tcPr>
          <w:p w14:paraId="479C792C">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p>
        </w:tc>
      </w:tr>
    </w:tbl>
    <w:p w14:paraId="1BC33455">
      <w:pPr>
        <w:pStyle w:val="28"/>
        <w:spacing w:line="360" w:lineRule="exact"/>
        <w:rPr>
          <w:rFonts w:ascii="Times New Roman" w:hAnsi="Times New Roman" w:eastAsia="宋体" w:cs="Times New Roman"/>
          <w:b/>
          <w:bCs/>
          <w:highlight w:val="none"/>
        </w:rPr>
      </w:pPr>
    </w:p>
    <w:p w14:paraId="28BC4B8E">
      <w:pPr>
        <w:pStyle w:val="28"/>
        <w:spacing w:line="360" w:lineRule="exact"/>
        <w:rPr>
          <w:rFonts w:ascii="Times New Roman" w:hAnsi="Times New Roman" w:eastAsia="宋体" w:cs="Times New Roman"/>
          <w:highlight w:val="none"/>
        </w:rPr>
      </w:pPr>
      <w:r>
        <w:rPr>
          <w:rFonts w:ascii="Times New Roman" w:hAnsi="Times New Roman" w:eastAsia="宋体" w:cs="Times New Roman"/>
          <w:b/>
          <w:bCs/>
          <w:highlight w:val="none"/>
        </w:rPr>
        <w:t>此表可根据自身需要编辑</w:t>
      </w:r>
    </w:p>
    <w:p w14:paraId="3A88C55B">
      <w:pPr>
        <w:spacing w:line="400" w:lineRule="exact"/>
        <w:rPr>
          <w:highlight w:val="none"/>
          <w:u w:val="single"/>
        </w:rPr>
      </w:pPr>
      <w:r>
        <w:rPr>
          <w:rFonts w:hint="eastAsia"/>
          <w:highlight w:val="none"/>
        </w:rPr>
        <w:t>投标人</w:t>
      </w:r>
      <w:r>
        <w:rPr>
          <w:highlight w:val="none"/>
        </w:rPr>
        <w:t>（公章）：</w:t>
      </w:r>
    </w:p>
    <w:p w14:paraId="6AC77A40">
      <w:pPr>
        <w:spacing w:line="400" w:lineRule="exact"/>
        <w:rPr>
          <w:highlight w:val="none"/>
          <w:u w:val="single"/>
        </w:rPr>
      </w:pPr>
      <w:r>
        <w:rPr>
          <w:highlight w:val="none"/>
        </w:rPr>
        <w:t>法定代表人或委托代理人</w:t>
      </w:r>
      <w:r>
        <w:rPr>
          <w:rFonts w:hint="eastAsia"/>
          <w:highlight w:val="none"/>
        </w:rPr>
        <w:t>（</w:t>
      </w:r>
      <w:r>
        <w:rPr>
          <w:highlight w:val="none"/>
        </w:rPr>
        <w:t>签</w:t>
      </w:r>
      <w:r>
        <w:rPr>
          <w:rFonts w:hint="eastAsia"/>
          <w:highlight w:val="none"/>
        </w:rPr>
        <w:t>字或签章）</w:t>
      </w:r>
      <w:r>
        <w:rPr>
          <w:highlight w:val="none"/>
        </w:rPr>
        <w:t>：</w:t>
      </w:r>
    </w:p>
    <w:p w14:paraId="3A22B516">
      <w:pPr>
        <w:spacing w:line="400" w:lineRule="exact"/>
        <w:rPr>
          <w:highlight w:val="none"/>
        </w:rPr>
      </w:pPr>
      <w:r>
        <w:rPr>
          <w:highlight w:val="none"/>
        </w:rPr>
        <w:t>日期：</w:t>
      </w:r>
    </w:p>
    <w:p w14:paraId="0E18A12C">
      <w:pPr>
        <w:spacing w:line="400" w:lineRule="exact"/>
        <w:rPr>
          <w:highlight w:val="none"/>
        </w:rPr>
      </w:pPr>
    </w:p>
    <w:p w14:paraId="046CC36F">
      <w:pPr>
        <w:spacing w:line="400" w:lineRule="exact"/>
        <w:rPr>
          <w:rFonts w:ascii="宋体" w:hAnsi="宋体" w:cs="宋体"/>
          <w:highlight w:val="none"/>
        </w:rPr>
      </w:pPr>
      <w:r>
        <w:rPr>
          <w:rFonts w:hint="eastAsia" w:ascii="宋体" w:hAnsi="宋体" w:cs="宋体"/>
          <w:highlight w:val="none"/>
        </w:rPr>
        <w:t>注：1.若此表由多页构成的，须逐页加盖投标人公章，否则报价无效。</w:t>
      </w:r>
    </w:p>
    <w:p w14:paraId="2C49DB06">
      <w:pPr>
        <w:spacing w:line="400" w:lineRule="exact"/>
        <w:ind w:firstLine="420" w:firstLineChars="200"/>
        <w:rPr>
          <w:rFonts w:ascii="宋体" w:hAnsi="宋体" w:cs="宋体"/>
          <w:highlight w:val="none"/>
        </w:rPr>
      </w:pPr>
      <w:r>
        <w:rPr>
          <w:rFonts w:hint="eastAsia" w:ascii="宋体" w:hAnsi="宋体" w:cs="宋体"/>
          <w:highlight w:val="none"/>
        </w:rPr>
        <w:t>2.</w:t>
      </w:r>
      <w:r>
        <w:rPr>
          <w:rFonts w:hint="eastAsia" w:ascii="宋体" w:hAnsi="宋体" w:cs="宋体"/>
          <w:kern w:val="0"/>
          <w:highlight w:val="none"/>
        </w:rPr>
        <w:t>项目报价为完成所要求服务内容的全部价格（包含增值税税金、</w:t>
      </w:r>
      <w:r>
        <w:rPr>
          <w:rFonts w:hint="eastAsia" w:ascii="宋体" w:hAnsi="宋体" w:cs="宋体"/>
          <w:highlight w:val="none"/>
        </w:rPr>
        <w:t>差旅费、咨询费、管理</w:t>
      </w:r>
      <w:r>
        <w:rPr>
          <w:rFonts w:hint="eastAsia" w:ascii="宋体" w:hAnsi="宋体" w:cs="宋体"/>
          <w:kern w:val="0"/>
          <w:highlight w:val="none"/>
        </w:rPr>
        <w:t>费用等其他费用）</w:t>
      </w:r>
      <w:r>
        <w:rPr>
          <w:rFonts w:hint="eastAsia" w:ascii="宋体" w:hAnsi="宋体" w:cs="宋体"/>
          <w:highlight w:val="none"/>
        </w:rPr>
        <w:t>，并开具增值税专用发票。在其它情况下，由于分项报价未填报或填报不完整、不清楚或存在其它任何失误，所导致的任何不利后果均应当由供应商自行承担。</w:t>
      </w:r>
    </w:p>
    <w:p w14:paraId="333F08CC">
      <w:pPr>
        <w:pStyle w:val="28"/>
        <w:spacing w:line="400" w:lineRule="exact"/>
        <w:ind w:firstLine="420" w:firstLineChars="200"/>
        <w:rPr>
          <w:rFonts w:hAnsi="宋体" w:eastAsia="宋体"/>
          <w:highlight w:val="none"/>
        </w:rPr>
      </w:pPr>
      <w:r>
        <w:rPr>
          <w:rFonts w:hint="eastAsia" w:hAnsi="宋体" w:eastAsia="宋体"/>
          <w:highlight w:val="none"/>
        </w:rPr>
        <w:t>3.投标人必须就本项目需求中的采购内容作完整唯一报价，否则，其磋商将被拒绝。响应文件只允许有一个报价，有选择的或有条件的报价将不予接受。</w:t>
      </w:r>
    </w:p>
    <w:p w14:paraId="35E9405E">
      <w:pPr>
        <w:pStyle w:val="5"/>
        <w:ind w:firstLine="562" w:firstLineChars="200"/>
        <w:rPr>
          <w:rFonts w:hint="default"/>
          <w:highlight w:val="none"/>
          <w:lang w:val="en-US" w:eastAsia="zh-CN"/>
        </w:rPr>
        <w:sectPr>
          <w:pgSz w:w="11905" w:h="16838"/>
          <w:pgMar w:top="1417" w:right="1361" w:bottom="1417" w:left="1361" w:header="850" w:footer="992" w:gutter="0"/>
          <w:cols w:space="0" w:num="1"/>
          <w:rtlGutter w:val="0"/>
          <w:docGrid w:type="lines" w:linePitch="312" w:charSpace="0"/>
        </w:sectPr>
      </w:pPr>
      <w:r>
        <w:rPr>
          <w:rFonts w:hint="eastAsia" w:ascii="宋体" w:hAnsi="宋体" w:eastAsia="宋体" w:cs="宋体"/>
          <w:b/>
          <w:bCs/>
          <w:spacing w:val="0"/>
          <w:sz w:val="28"/>
          <w:szCs w:val="28"/>
          <w:highlight w:val="none"/>
          <w:lang w:val="en-US" w:eastAsia="zh-CN"/>
        </w:rPr>
        <w:t>4.</w:t>
      </w:r>
      <w:r>
        <w:rPr>
          <w:rFonts w:hint="eastAsia" w:ascii="宋体" w:hAnsi="宋体" w:cs="宋体"/>
          <w:b/>
          <w:bCs/>
          <w:spacing w:val="0"/>
          <w:sz w:val="28"/>
          <w:szCs w:val="28"/>
          <w:highlight w:val="none"/>
          <w:lang w:val="en-US" w:eastAsia="zh-CN"/>
        </w:rPr>
        <w:t>新增零散需求费用</w:t>
      </w:r>
      <w:r>
        <w:rPr>
          <w:rFonts w:hint="eastAsia" w:ascii="宋体" w:hAnsi="宋体" w:eastAsia="宋体" w:cs="宋体"/>
          <w:b/>
          <w:bCs/>
          <w:spacing w:val="0"/>
          <w:sz w:val="28"/>
          <w:szCs w:val="28"/>
          <w:highlight w:val="none"/>
          <w:lang w:val="en-US" w:eastAsia="zh-CN"/>
        </w:rPr>
        <w:t>结算价=实际</w:t>
      </w:r>
      <w:r>
        <w:rPr>
          <w:rFonts w:hint="eastAsia" w:ascii="宋体" w:hAnsi="宋体" w:cs="宋体"/>
          <w:b/>
          <w:bCs/>
          <w:spacing w:val="0"/>
          <w:sz w:val="28"/>
          <w:szCs w:val="28"/>
          <w:highlight w:val="none"/>
          <w:lang w:val="en-US" w:eastAsia="zh-CN"/>
        </w:rPr>
        <w:t>工作</w:t>
      </w:r>
      <w:r>
        <w:rPr>
          <w:rFonts w:hint="eastAsia" w:ascii="宋体" w:hAnsi="宋体" w:eastAsia="宋体" w:cs="宋体"/>
          <w:b/>
          <w:bCs/>
          <w:spacing w:val="0"/>
          <w:sz w:val="28"/>
          <w:szCs w:val="28"/>
          <w:highlight w:val="none"/>
          <w:lang w:val="en-US" w:eastAsia="zh-CN"/>
        </w:rPr>
        <w:t>量×成交单价</w:t>
      </w:r>
    </w:p>
    <w:p w14:paraId="7E63EC3B">
      <w:pPr>
        <w:pStyle w:val="4"/>
        <w:spacing w:after="0" w:line="400" w:lineRule="exact"/>
        <w:rPr>
          <w:b/>
          <w:bCs/>
          <w:kern w:val="0"/>
          <w:highlight w:val="none"/>
        </w:rPr>
      </w:pPr>
      <w:r>
        <w:rPr>
          <w:b/>
          <w:bCs/>
          <w:kern w:val="0"/>
          <w:highlight w:val="none"/>
        </w:rPr>
        <w:t>附件3、</w:t>
      </w:r>
      <w:r>
        <w:rPr>
          <w:b/>
          <w:bCs/>
          <w:highlight w:val="none"/>
        </w:rPr>
        <w:t>法定代表人（单位负责人）身份证明（</w:t>
      </w:r>
      <w:r>
        <w:rPr>
          <w:b/>
          <w:bCs/>
          <w:kern w:val="0"/>
          <w:highlight w:val="none"/>
        </w:rPr>
        <w:t>必须提供）</w:t>
      </w:r>
    </w:p>
    <w:p w14:paraId="6DA275BB">
      <w:pPr>
        <w:snapToGrid w:val="0"/>
        <w:spacing w:before="156" w:beforeLines="50" w:after="50" w:line="440" w:lineRule="exact"/>
        <w:jc w:val="center"/>
        <w:rPr>
          <w:b/>
          <w:highlight w:val="none"/>
        </w:rPr>
      </w:pPr>
    </w:p>
    <w:p w14:paraId="5CCD9DD0">
      <w:pPr>
        <w:snapToGrid w:val="0"/>
        <w:spacing w:before="156" w:beforeLines="50" w:after="50" w:line="440" w:lineRule="exact"/>
        <w:jc w:val="center"/>
        <w:rPr>
          <w:b/>
          <w:highlight w:val="none"/>
        </w:rPr>
      </w:pPr>
      <w:r>
        <w:rPr>
          <w:b/>
          <w:highlight w:val="none"/>
        </w:rPr>
        <w:t>法定代表人身份证明</w:t>
      </w:r>
    </w:p>
    <w:p w14:paraId="097E6D65">
      <w:pPr>
        <w:spacing w:line="360" w:lineRule="auto"/>
        <w:rPr>
          <w:highlight w:val="none"/>
        </w:rPr>
      </w:pPr>
    </w:p>
    <w:p w14:paraId="5797F97B">
      <w:pPr>
        <w:pStyle w:val="20"/>
        <w:spacing w:line="720" w:lineRule="auto"/>
        <w:rPr>
          <w:bCs/>
          <w:highlight w:val="none"/>
        </w:rPr>
      </w:pPr>
      <w:r>
        <w:rPr>
          <w:bCs/>
          <w:highlight w:val="none"/>
          <w:u w:val="single"/>
        </w:rPr>
        <w:t xml:space="preserve">               </w:t>
      </w:r>
      <w:r>
        <w:rPr>
          <w:bCs/>
          <w:highlight w:val="none"/>
        </w:rPr>
        <w:t>现任我单位</w:t>
      </w:r>
      <w:r>
        <w:rPr>
          <w:bCs/>
          <w:highlight w:val="none"/>
          <w:u w:val="single"/>
        </w:rPr>
        <w:t xml:space="preserve">     （单位名称及职务）           </w:t>
      </w:r>
      <w:r>
        <w:rPr>
          <w:bCs/>
          <w:highlight w:val="none"/>
        </w:rPr>
        <w:t>，为法定代表人，特此证明。</w:t>
      </w:r>
    </w:p>
    <w:p w14:paraId="4A738F7F">
      <w:pPr>
        <w:pStyle w:val="20"/>
        <w:spacing w:line="720" w:lineRule="auto"/>
        <w:rPr>
          <w:bCs/>
          <w:highlight w:val="none"/>
        </w:rPr>
      </w:pPr>
      <w:r>
        <w:rPr>
          <w:bCs/>
          <w:highlight w:val="none"/>
        </w:rPr>
        <w:t xml:space="preserve">        </w:t>
      </w:r>
    </w:p>
    <w:p w14:paraId="399FF893">
      <w:pPr>
        <w:pStyle w:val="20"/>
        <w:spacing w:line="720" w:lineRule="auto"/>
        <w:ind w:firstLine="0"/>
        <w:rPr>
          <w:bCs/>
          <w:highlight w:val="none"/>
        </w:rPr>
      </w:pPr>
    </w:p>
    <w:p w14:paraId="1D435D12">
      <w:pPr>
        <w:pStyle w:val="20"/>
        <w:spacing w:line="720" w:lineRule="auto"/>
        <w:rPr>
          <w:bCs/>
          <w:highlight w:val="none"/>
        </w:rPr>
      </w:pPr>
      <w:r>
        <w:rPr>
          <w:bCs/>
          <w:highlight w:val="none"/>
        </w:rPr>
        <w:t>附：法定代表人性别：</w:t>
      </w:r>
      <w:r>
        <w:rPr>
          <w:bCs/>
          <w:highlight w:val="none"/>
          <w:u w:val="single"/>
        </w:rPr>
        <w:t xml:space="preserve">      </w:t>
      </w:r>
      <w:r>
        <w:rPr>
          <w:bCs/>
          <w:highlight w:val="none"/>
        </w:rPr>
        <w:t>年龄：</w:t>
      </w:r>
      <w:r>
        <w:rPr>
          <w:bCs/>
          <w:highlight w:val="none"/>
          <w:u w:val="single"/>
        </w:rPr>
        <w:t xml:space="preserve">        </w:t>
      </w:r>
      <w:r>
        <w:rPr>
          <w:bCs/>
          <w:highlight w:val="none"/>
        </w:rPr>
        <w:t>身份证号码：</w:t>
      </w:r>
      <w:r>
        <w:rPr>
          <w:bCs/>
          <w:highlight w:val="none"/>
          <w:u w:val="single"/>
        </w:rPr>
        <w:t xml:space="preserve">                  </w:t>
      </w:r>
      <w:r>
        <w:rPr>
          <w:bCs/>
          <w:highlight w:val="none"/>
        </w:rPr>
        <w:t>。</w:t>
      </w:r>
      <w:r>
        <w:rPr>
          <w:bCs/>
          <w:highlight w:val="none"/>
          <w:u w:val="single"/>
        </w:rPr>
        <w:t xml:space="preserve"> </w:t>
      </w:r>
      <w:r>
        <w:rPr>
          <w:bCs/>
          <w:highlight w:val="none"/>
        </w:rPr>
        <w:t xml:space="preserve"> </w:t>
      </w:r>
    </w:p>
    <w:p w14:paraId="7692FB0C">
      <w:pPr>
        <w:pStyle w:val="20"/>
        <w:spacing w:line="720" w:lineRule="auto"/>
        <w:rPr>
          <w:bCs/>
          <w:highlight w:val="none"/>
        </w:rPr>
      </w:pPr>
      <w:r>
        <w:rPr>
          <w:bCs/>
          <w:highlight w:val="none"/>
        </w:rPr>
        <w:t>营业执照号码：</w:t>
      </w:r>
      <w:r>
        <w:rPr>
          <w:bCs/>
          <w:highlight w:val="none"/>
          <w:u w:val="single"/>
        </w:rPr>
        <w:t xml:space="preserve">                       </w:t>
      </w:r>
      <w:r>
        <w:rPr>
          <w:bCs/>
          <w:highlight w:val="none"/>
        </w:rPr>
        <w:t xml:space="preserve"> 企业类型：</w:t>
      </w:r>
      <w:r>
        <w:rPr>
          <w:bCs/>
          <w:highlight w:val="none"/>
          <w:u w:val="single"/>
        </w:rPr>
        <w:t xml:space="preserve">                </w:t>
      </w:r>
      <w:r>
        <w:rPr>
          <w:bCs/>
          <w:highlight w:val="none"/>
        </w:rPr>
        <w:t xml:space="preserve"> 。 </w:t>
      </w:r>
    </w:p>
    <w:p w14:paraId="500A8597">
      <w:pPr>
        <w:pStyle w:val="20"/>
        <w:spacing w:line="720" w:lineRule="auto"/>
        <w:rPr>
          <w:b/>
          <w:highlight w:val="none"/>
        </w:rPr>
      </w:pPr>
      <w:r>
        <w:rPr>
          <w:bCs/>
          <w:highlight w:val="none"/>
        </w:rPr>
        <w:t>经营范围：</w:t>
      </w:r>
      <w:r>
        <w:rPr>
          <w:b/>
          <w:highlight w:val="none"/>
          <w:u w:val="single"/>
        </w:rPr>
        <w:t xml:space="preserve">                                           </w:t>
      </w:r>
      <w:r>
        <w:rPr>
          <w:b/>
          <w:highlight w:val="none"/>
        </w:rPr>
        <w:t>。</w:t>
      </w:r>
    </w:p>
    <w:p w14:paraId="76751C10">
      <w:pPr>
        <w:spacing w:line="720" w:lineRule="auto"/>
        <w:jc w:val="center"/>
        <w:rPr>
          <w:highlight w:val="none"/>
        </w:rPr>
      </w:pPr>
      <w:r>
        <w:rPr>
          <w:highlight w:val="none"/>
        </w:rPr>
        <w:t xml:space="preserve">                  </w:t>
      </w:r>
    </w:p>
    <w:p w14:paraId="26D07EEE">
      <w:pPr>
        <w:spacing w:line="720" w:lineRule="auto"/>
        <w:jc w:val="center"/>
        <w:rPr>
          <w:highlight w:val="none"/>
        </w:rPr>
      </w:pPr>
      <w:r>
        <w:rPr>
          <w:highlight w:val="none"/>
        </w:rPr>
        <w:t xml:space="preserve">  </w:t>
      </w:r>
      <w:r>
        <w:rPr>
          <w:highlight w:val="none"/>
        </w:rPr>
        <w:tab/>
      </w:r>
      <w:r>
        <w:rPr>
          <w:highlight w:val="none"/>
        </w:rPr>
        <w:tab/>
      </w:r>
      <w:r>
        <w:rPr>
          <w:highlight w:val="none"/>
        </w:rPr>
        <w:tab/>
      </w:r>
      <w:r>
        <w:rPr>
          <w:highlight w:val="none"/>
        </w:rPr>
        <w:tab/>
      </w:r>
      <w:r>
        <w:rPr>
          <w:rFonts w:hint="eastAsia"/>
          <w:highlight w:val="none"/>
        </w:rPr>
        <w:t>投标人</w:t>
      </w:r>
      <w:r>
        <w:rPr>
          <w:highlight w:val="none"/>
        </w:rPr>
        <w:t>（公章）：</w:t>
      </w:r>
    </w:p>
    <w:p w14:paraId="79EE17AE">
      <w:pPr>
        <w:spacing w:line="720" w:lineRule="auto"/>
        <w:jc w:val="center"/>
        <w:rPr>
          <w:highlight w:val="none"/>
        </w:rPr>
      </w:pPr>
      <w:r>
        <w:rPr>
          <w:rFonts w:hint="eastAsia"/>
          <w:highlight w:val="none"/>
        </w:rPr>
        <w:t xml:space="preserve">      </w:t>
      </w:r>
      <w:r>
        <w:rPr>
          <w:highlight w:val="none"/>
        </w:rPr>
        <w:t>日期：</w:t>
      </w:r>
    </w:p>
    <w:p w14:paraId="74E7C13E">
      <w:pPr>
        <w:widowControl/>
        <w:rPr>
          <w:spacing w:val="20"/>
          <w:highlight w:val="none"/>
        </w:rPr>
      </w:pPr>
      <w:r>
        <w:rPr>
          <w:highlight w:val="none"/>
        </w:rPr>
        <w:t>（附法定代表人居民身份证复印件</w:t>
      </w:r>
      <w:r>
        <w:rPr>
          <w:spacing w:val="20"/>
          <w:highlight w:val="none"/>
        </w:rPr>
        <w:t>）</w:t>
      </w:r>
    </w:p>
    <w:p w14:paraId="5C39BD01">
      <w:pPr>
        <w:spacing w:line="360" w:lineRule="auto"/>
        <w:ind w:firstLine="420" w:firstLineChars="200"/>
        <w:rPr>
          <w:highlight w:val="none"/>
        </w:rPr>
      </w:pPr>
    </w:p>
    <w:p w14:paraId="321FE19E">
      <w:pPr>
        <w:spacing w:line="360" w:lineRule="auto"/>
        <w:ind w:firstLine="420" w:firstLineChars="200"/>
        <w:rPr>
          <w:highlight w:val="none"/>
        </w:rPr>
      </w:pPr>
    </w:p>
    <w:p w14:paraId="3654907D">
      <w:pPr>
        <w:pStyle w:val="28"/>
        <w:spacing w:line="300" w:lineRule="exact"/>
        <w:ind w:firstLine="472" w:firstLineChars="196"/>
        <w:rPr>
          <w:rFonts w:ascii="Times New Roman" w:hAnsi="Times New Roman" w:eastAsia="宋体" w:cs="Times New Roman"/>
          <w:b/>
          <w:sz w:val="24"/>
          <w:szCs w:val="24"/>
          <w:highlight w:val="none"/>
        </w:rPr>
      </w:pPr>
    </w:p>
    <w:p w14:paraId="722478E9">
      <w:pPr>
        <w:pStyle w:val="28"/>
        <w:ind w:firstLine="630" w:firstLineChars="196"/>
        <w:jc w:val="center"/>
        <w:rPr>
          <w:rFonts w:ascii="Times New Roman" w:hAnsi="Times New Roman" w:eastAsia="宋体" w:cs="Times New Roman"/>
          <w:b/>
          <w:sz w:val="32"/>
          <w:highlight w:val="none"/>
        </w:rPr>
        <w:sectPr>
          <w:pgSz w:w="11905" w:h="16838"/>
          <w:pgMar w:top="1417" w:right="1361" w:bottom="1417" w:left="1361" w:header="850" w:footer="992" w:gutter="0"/>
          <w:cols w:space="0" w:num="1"/>
          <w:rtlGutter w:val="0"/>
          <w:docGrid w:type="lines" w:linePitch="312" w:charSpace="0"/>
        </w:sectPr>
      </w:pPr>
    </w:p>
    <w:p w14:paraId="538F261A">
      <w:pPr>
        <w:pStyle w:val="28"/>
        <w:rPr>
          <w:rFonts w:ascii="Times New Roman" w:hAnsi="Times New Roman" w:eastAsia="宋体" w:cs="Times New Roman"/>
          <w:b/>
          <w:bCs/>
          <w:kern w:val="0"/>
          <w:highlight w:val="none"/>
        </w:rPr>
      </w:pPr>
      <w:r>
        <w:rPr>
          <w:rFonts w:ascii="Times New Roman" w:hAnsi="Times New Roman" w:eastAsia="宋体" w:cs="Times New Roman"/>
          <w:b/>
          <w:bCs/>
          <w:kern w:val="0"/>
          <w:highlight w:val="none"/>
        </w:rPr>
        <w:t>附件4、法定代表人授权委托书（有授权代表时必须提供）</w:t>
      </w:r>
    </w:p>
    <w:p w14:paraId="3CDCC13C">
      <w:pPr>
        <w:pStyle w:val="18"/>
        <w:rPr>
          <w:highlight w:val="none"/>
        </w:rPr>
      </w:pPr>
    </w:p>
    <w:p w14:paraId="14B38B8B">
      <w:pPr>
        <w:pStyle w:val="28"/>
        <w:ind w:firstLine="630" w:firstLineChars="196"/>
        <w:jc w:val="center"/>
        <w:rPr>
          <w:rFonts w:ascii="Times New Roman" w:hAnsi="Times New Roman" w:eastAsia="宋体" w:cs="Times New Roman"/>
          <w:b/>
          <w:sz w:val="32"/>
          <w:highlight w:val="none"/>
        </w:rPr>
      </w:pPr>
      <w:r>
        <w:rPr>
          <w:rFonts w:ascii="Times New Roman" w:hAnsi="Times New Roman" w:eastAsia="宋体" w:cs="Times New Roman"/>
          <w:b/>
          <w:sz w:val="32"/>
          <w:highlight w:val="none"/>
        </w:rPr>
        <w:t>授权委托书</w:t>
      </w:r>
    </w:p>
    <w:p w14:paraId="16FB25DB">
      <w:pPr>
        <w:pStyle w:val="28"/>
        <w:rPr>
          <w:rFonts w:ascii="Times New Roman" w:hAnsi="Times New Roman" w:eastAsia="宋体" w:cs="Times New Roman"/>
          <w:highlight w:val="none"/>
        </w:rPr>
      </w:pPr>
    </w:p>
    <w:p w14:paraId="3E110BC7">
      <w:pPr>
        <w:pStyle w:val="28"/>
        <w:rPr>
          <w:rFonts w:ascii="Times New Roman" w:hAnsi="Times New Roman" w:eastAsia="宋体" w:cs="Times New Roman"/>
          <w:b/>
          <w:highlight w:val="none"/>
        </w:rPr>
      </w:pPr>
      <w:r>
        <w:rPr>
          <w:rFonts w:ascii="Times New Roman" w:hAnsi="Times New Roman" w:eastAsia="宋体" w:cs="Times New Roman"/>
          <w:highlight w:val="none"/>
        </w:rPr>
        <w:t>致</w:t>
      </w:r>
      <w:r>
        <w:rPr>
          <w:rFonts w:hint="eastAsia" w:ascii="Times New Roman" w:hAnsi="Times New Roman" w:eastAsia="宋体" w:cs="Times New Roman"/>
          <w:highlight w:val="none"/>
        </w:rPr>
        <w:t>：</w:t>
      </w:r>
      <w:r>
        <w:rPr>
          <w:rFonts w:ascii="Times New Roman" w:hAnsi="Times New Roman" w:eastAsia="宋体" w:cs="Times New Roman"/>
          <w:b/>
          <w:highlight w:val="none"/>
        </w:rPr>
        <w:t>桂林银行股份有限公司</w:t>
      </w:r>
    </w:p>
    <w:p w14:paraId="1C02A16D">
      <w:pPr>
        <w:spacing w:line="400" w:lineRule="exact"/>
        <w:rPr>
          <w:highlight w:val="none"/>
        </w:rPr>
      </w:pPr>
    </w:p>
    <w:p w14:paraId="2D33AAF1">
      <w:pPr>
        <w:pStyle w:val="28"/>
        <w:spacing w:line="400" w:lineRule="exact"/>
        <w:ind w:firstLine="420" w:firstLineChars="200"/>
        <w:rPr>
          <w:rFonts w:ascii="Times New Roman" w:hAnsi="Times New Roman" w:eastAsia="宋体" w:cs="Times New Roman"/>
          <w:highlight w:val="none"/>
        </w:rPr>
      </w:pPr>
      <w:r>
        <w:rPr>
          <w:rFonts w:hint="eastAsia" w:ascii="Times New Roman" w:hAnsi="Times New Roman" w:eastAsia="宋体" w:cs="Times New Roman"/>
          <w:kern w:val="0"/>
          <w:highlight w:val="none"/>
        </w:rPr>
        <w:t>本人</w:t>
      </w:r>
      <w:r>
        <w:rPr>
          <w:rFonts w:ascii="Times New Roman" w:hAnsi="Times New Roman" w:eastAsia="宋体" w:cs="Times New Roman"/>
          <w:kern w:val="0"/>
          <w:highlight w:val="none"/>
          <w:u w:val="single"/>
        </w:rPr>
        <w:t>（姓名）</w:t>
      </w:r>
      <w:r>
        <w:rPr>
          <w:rFonts w:ascii="Times New Roman" w:hAnsi="Times New Roman" w:eastAsia="宋体" w:cs="Times New Roman"/>
          <w:kern w:val="0"/>
          <w:highlight w:val="none"/>
        </w:rPr>
        <w:t>系</w:t>
      </w:r>
      <w:r>
        <w:rPr>
          <w:rFonts w:ascii="Times New Roman" w:hAnsi="Times New Roman" w:eastAsia="宋体" w:cs="Times New Roman"/>
          <w:kern w:val="0"/>
          <w:highlight w:val="none"/>
          <w:u w:val="single"/>
        </w:rPr>
        <w:t>（</w:t>
      </w:r>
      <w:r>
        <w:rPr>
          <w:rFonts w:hint="eastAsia" w:ascii="Times New Roman" w:hAnsi="Times New Roman" w:eastAsia="宋体" w:cs="Times New Roman"/>
          <w:kern w:val="0"/>
          <w:highlight w:val="none"/>
          <w:u w:val="single"/>
        </w:rPr>
        <w:t>投标人</w:t>
      </w:r>
      <w:r>
        <w:rPr>
          <w:rFonts w:ascii="Times New Roman" w:hAnsi="Times New Roman" w:eastAsia="宋体" w:cs="Times New Roman"/>
          <w:kern w:val="0"/>
          <w:highlight w:val="none"/>
          <w:u w:val="single"/>
        </w:rPr>
        <w:t>名称）</w:t>
      </w:r>
      <w:r>
        <w:rPr>
          <w:rFonts w:ascii="Times New Roman" w:hAnsi="Times New Roman" w:eastAsia="宋体" w:cs="Times New Roman"/>
          <w:kern w:val="0"/>
          <w:highlight w:val="none"/>
        </w:rPr>
        <w:t>的法定代表人（负责人），现委托</w:t>
      </w:r>
      <w:r>
        <w:rPr>
          <w:rFonts w:ascii="Times New Roman" w:hAnsi="Times New Roman" w:eastAsia="宋体" w:cs="Times New Roman"/>
          <w:kern w:val="0"/>
          <w:highlight w:val="none"/>
          <w:u w:val="single"/>
        </w:rPr>
        <w:t>（姓 名）</w:t>
      </w:r>
      <w:r>
        <w:rPr>
          <w:rFonts w:hint="eastAsia" w:ascii="Times New Roman" w:hAnsi="Times New Roman" w:eastAsia="宋体" w:cs="Times New Roman"/>
          <w:kern w:val="0"/>
          <w:highlight w:val="none"/>
        </w:rPr>
        <w:t>为我方代理人。代理人根据授权，</w:t>
      </w:r>
      <w:r>
        <w:rPr>
          <w:rFonts w:ascii="Times New Roman" w:hAnsi="Times New Roman" w:eastAsia="宋体" w:cs="Times New Roman"/>
          <w:kern w:val="0"/>
          <w:highlight w:val="none"/>
        </w:rPr>
        <w:t>以我</w:t>
      </w:r>
      <w:r>
        <w:rPr>
          <w:rFonts w:hint="eastAsia" w:ascii="Times New Roman" w:hAnsi="Times New Roman" w:eastAsia="宋体" w:cs="Times New Roman"/>
          <w:kern w:val="0"/>
          <w:highlight w:val="none"/>
        </w:rPr>
        <w:t>方</w:t>
      </w:r>
      <w:r>
        <w:rPr>
          <w:rFonts w:ascii="Times New Roman" w:hAnsi="Times New Roman" w:eastAsia="宋体" w:cs="Times New Roman"/>
          <w:kern w:val="0"/>
          <w:highlight w:val="none"/>
        </w:rPr>
        <w:t>名义参加</w:t>
      </w:r>
      <w:r>
        <w:rPr>
          <w:rFonts w:hint="eastAsia" w:ascii="Times New Roman" w:hAnsi="Times New Roman" w:eastAsia="宋体" w:cs="Times New Roman"/>
          <w:highlight w:val="none"/>
          <w:u w:val="single"/>
        </w:rPr>
        <w:t xml:space="preserve"> 桂林银行采购大模型AI智能体开发项目</w:t>
      </w:r>
      <w:r>
        <w:rPr>
          <w:rFonts w:hint="eastAsia" w:ascii="Times New Roman" w:hAnsi="Times New Roman" w:eastAsia="宋体" w:cs="Times New Roman"/>
          <w:highlight w:val="none"/>
          <w:u w:val="single"/>
          <w:lang w:val="en-US" w:eastAsia="zh-CN"/>
        </w:rPr>
        <w:t>/项目编号：</w:t>
      </w:r>
      <w:r>
        <w:rPr>
          <w:rFonts w:hint="eastAsia" w:ascii="Times New Roman" w:hAnsi="Times New Roman" w:eastAsia="宋体" w:cs="Times New Roman"/>
          <w:highlight w:val="none"/>
          <w:u w:val="single"/>
        </w:rPr>
        <w:t>GYJC2025</w:t>
      </w:r>
      <w:r>
        <w:rPr>
          <w:rFonts w:hint="eastAsia" w:ascii="Times New Roman" w:hAnsi="Times New Roman" w:eastAsia="宋体" w:cs="Times New Roman"/>
          <w:highlight w:val="none"/>
          <w:u w:val="single"/>
          <w:lang w:val="en-US" w:eastAsia="zh-CN"/>
        </w:rPr>
        <w:t>114</w:t>
      </w:r>
      <w:r>
        <w:rPr>
          <w:rFonts w:ascii="Times New Roman" w:hAnsi="Times New Roman" w:eastAsia="宋体" w:cs="Times New Roman"/>
          <w:highlight w:val="none"/>
          <w:u w:val="single"/>
        </w:rPr>
        <w:t xml:space="preserve"> </w:t>
      </w:r>
      <w:r>
        <w:rPr>
          <w:rFonts w:ascii="Times New Roman" w:hAnsi="Times New Roman" w:eastAsia="宋体" w:cs="Times New Roman"/>
          <w:highlight w:val="none"/>
        </w:rPr>
        <w:t>的磋商活动，并代表我方全权办理针对上述项目的磋商、</w:t>
      </w:r>
      <w:r>
        <w:rPr>
          <w:rFonts w:hint="eastAsia" w:ascii="Times New Roman" w:hAnsi="Times New Roman" w:eastAsia="宋体" w:cs="Times New Roman"/>
          <w:highlight w:val="none"/>
        </w:rPr>
        <w:t>澄清确认、递交、撤回、修改、</w:t>
      </w:r>
      <w:r>
        <w:rPr>
          <w:rFonts w:ascii="Times New Roman" w:hAnsi="Times New Roman" w:eastAsia="宋体" w:cs="Times New Roman"/>
          <w:highlight w:val="none"/>
        </w:rPr>
        <w:t>签约等具体事务和</w:t>
      </w:r>
      <w:r>
        <w:rPr>
          <w:rFonts w:hint="eastAsia" w:ascii="Times New Roman" w:hAnsi="Times New Roman" w:eastAsia="宋体" w:cs="Times New Roman"/>
          <w:highlight w:val="none"/>
        </w:rPr>
        <w:t>处理有关事宜</w:t>
      </w:r>
      <w:r>
        <w:rPr>
          <w:rFonts w:ascii="Times New Roman" w:hAnsi="Times New Roman" w:eastAsia="宋体" w:cs="Times New Roman"/>
          <w:highlight w:val="none"/>
        </w:rPr>
        <w:t>。</w:t>
      </w:r>
    </w:p>
    <w:p w14:paraId="3816FCB7">
      <w:pPr>
        <w:pStyle w:val="28"/>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我方对</w:t>
      </w:r>
      <w:r>
        <w:rPr>
          <w:rFonts w:hint="eastAsia" w:ascii="Times New Roman" w:hAnsi="Times New Roman" w:eastAsia="宋体" w:cs="Times New Roman"/>
          <w:highlight w:val="none"/>
        </w:rPr>
        <w:t>代理</w:t>
      </w:r>
      <w:r>
        <w:rPr>
          <w:rFonts w:ascii="Times New Roman" w:hAnsi="Times New Roman" w:eastAsia="宋体" w:cs="Times New Roman"/>
          <w:highlight w:val="none"/>
        </w:rPr>
        <w:t>人的签字事项负全部责任。</w:t>
      </w:r>
    </w:p>
    <w:p w14:paraId="12F1685C">
      <w:pPr>
        <w:snapToGrid w:val="0"/>
        <w:spacing w:before="156" w:beforeLines="50" w:after="50" w:line="440" w:lineRule="exact"/>
        <w:ind w:firstLine="420" w:firstLineChars="200"/>
        <w:rPr>
          <w:highlight w:val="none"/>
        </w:rPr>
      </w:pPr>
      <w:r>
        <w:rPr>
          <w:rFonts w:hint="eastAsia"/>
          <w:highlight w:val="none"/>
        </w:rPr>
        <w:t>委托期限：</w:t>
      </w:r>
    </w:p>
    <w:p w14:paraId="7808E460">
      <w:pPr>
        <w:pStyle w:val="28"/>
        <w:spacing w:line="400" w:lineRule="exact"/>
        <w:rPr>
          <w:rFonts w:ascii="Times New Roman" w:hAnsi="Times New Roman" w:eastAsia="宋体" w:cs="Times New Roman"/>
          <w:highlight w:val="none"/>
          <w:u w:val="single"/>
        </w:rPr>
      </w:pPr>
    </w:p>
    <w:p w14:paraId="6B6E8DD9">
      <w:pPr>
        <w:spacing w:line="400" w:lineRule="exact"/>
        <w:ind w:firstLine="420" w:firstLineChars="200"/>
        <w:rPr>
          <w:kern w:val="0"/>
          <w:highlight w:val="none"/>
        </w:rPr>
      </w:pPr>
      <w:r>
        <w:rPr>
          <w:kern w:val="0"/>
          <w:highlight w:val="none"/>
        </w:rPr>
        <w:t>代理人无转委托权</w:t>
      </w:r>
      <w:r>
        <w:rPr>
          <w:rFonts w:hint="eastAsia"/>
          <w:kern w:val="0"/>
          <w:highlight w:val="none"/>
        </w:rPr>
        <w:t>，</w:t>
      </w:r>
      <w:r>
        <w:rPr>
          <w:kern w:val="0"/>
          <w:highlight w:val="none"/>
        </w:rPr>
        <w:t>特此委托。</w:t>
      </w:r>
    </w:p>
    <w:p w14:paraId="3AFD078F">
      <w:pPr>
        <w:snapToGrid w:val="0"/>
        <w:spacing w:line="400" w:lineRule="exact"/>
        <w:ind w:firstLine="525"/>
        <w:outlineLvl w:val="4"/>
        <w:rPr>
          <w:highlight w:val="none"/>
        </w:rPr>
      </w:pPr>
    </w:p>
    <w:p w14:paraId="012B9887">
      <w:pPr>
        <w:snapToGrid w:val="0"/>
        <w:spacing w:line="400" w:lineRule="exact"/>
        <w:ind w:firstLine="420"/>
        <w:outlineLvl w:val="4"/>
        <w:rPr>
          <w:highlight w:val="none"/>
        </w:rPr>
      </w:pPr>
    </w:p>
    <w:p w14:paraId="64B25DEF">
      <w:pPr>
        <w:rPr>
          <w:highlight w:val="none"/>
        </w:rPr>
      </w:pPr>
      <w:r>
        <w:rPr>
          <w:rFonts w:hint="eastAsia"/>
          <w:highlight w:val="none"/>
        </w:rPr>
        <w:t>投标人（公章）：</w:t>
      </w:r>
    </w:p>
    <w:p w14:paraId="5120837F">
      <w:pPr>
        <w:rPr>
          <w:highlight w:val="none"/>
        </w:rPr>
      </w:pPr>
    </w:p>
    <w:p w14:paraId="04BBCC54">
      <w:pPr>
        <w:rPr>
          <w:highlight w:val="none"/>
        </w:rPr>
      </w:pPr>
      <w:r>
        <w:rPr>
          <w:highlight w:val="none"/>
        </w:rPr>
        <w:t>法定代表人（签字或签章）</w:t>
      </w:r>
      <w:r>
        <w:rPr>
          <w:rFonts w:hint="eastAsia"/>
          <w:highlight w:val="none"/>
        </w:rPr>
        <w:t>：</w:t>
      </w:r>
    </w:p>
    <w:p w14:paraId="3211CCF5">
      <w:pPr>
        <w:pStyle w:val="4"/>
        <w:rPr>
          <w:highlight w:val="none"/>
        </w:rPr>
      </w:pPr>
    </w:p>
    <w:p w14:paraId="5D662259">
      <w:pPr>
        <w:rPr>
          <w:highlight w:val="none"/>
        </w:rPr>
      </w:pPr>
      <w:r>
        <w:rPr>
          <w:rFonts w:hint="eastAsia"/>
          <w:highlight w:val="none"/>
        </w:rPr>
        <w:t>身份证号码：</w:t>
      </w:r>
    </w:p>
    <w:p w14:paraId="7C31D7DD">
      <w:pPr>
        <w:pStyle w:val="55"/>
        <w:rPr>
          <w:highlight w:val="none"/>
        </w:rPr>
      </w:pPr>
    </w:p>
    <w:p w14:paraId="318999DA">
      <w:pPr>
        <w:rPr>
          <w:highlight w:val="none"/>
        </w:rPr>
      </w:pPr>
      <w:r>
        <w:rPr>
          <w:rFonts w:hint="eastAsia"/>
          <w:highlight w:val="none"/>
        </w:rPr>
        <w:t>委托代理人</w:t>
      </w:r>
      <w:r>
        <w:rPr>
          <w:highlight w:val="none"/>
        </w:rPr>
        <w:t>（</w:t>
      </w:r>
      <w:r>
        <w:rPr>
          <w:rFonts w:hint="eastAsia"/>
          <w:highlight w:val="none"/>
        </w:rPr>
        <w:t>签字或签章</w:t>
      </w:r>
      <w:r>
        <w:rPr>
          <w:highlight w:val="none"/>
        </w:rPr>
        <w:t>）</w:t>
      </w:r>
      <w:r>
        <w:rPr>
          <w:rFonts w:hint="eastAsia"/>
          <w:highlight w:val="none"/>
        </w:rPr>
        <w:t>：</w:t>
      </w:r>
    </w:p>
    <w:p w14:paraId="67A8F4BA">
      <w:pPr>
        <w:pStyle w:val="4"/>
        <w:rPr>
          <w:highlight w:val="none"/>
        </w:rPr>
      </w:pPr>
    </w:p>
    <w:p w14:paraId="0CCA5F69">
      <w:pPr>
        <w:rPr>
          <w:highlight w:val="none"/>
        </w:rPr>
      </w:pPr>
      <w:r>
        <w:rPr>
          <w:rFonts w:hint="eastAsia"/>
          <w:highlight w:val="none"/>
        </w:rPr>
        <w:t>身份证号码：</w:t>
      </w:r>
    </w:p>
    <w:p w14:paraId="44BDD5D3">
      <w:pPr>
        <w:rPr>
          <w:bCs/>
          <w:szCs w:val="22"/>
          <w:highlight w:val="none"/>
        </w:rPr>
      </w:pPr>
    </w:p>
    <w:p w14:paraId="23D31E74">
      <w:pPr>
        <w:rPr>
          <w:bCs/>
          <w:szCs w:val="22"/>
          <w:highlight w:val="none"/>
        </w:rPr>
      </w:pPr>
      <w:r>
        <w:rPr>
          <w:bCs/>
          <w:szCs w:val="22"/>
          <w:highlight w:val="none"/>
        </w:rPr>
        <w:t>日期</w:t>
      </w:r>
      <w:r>
        <w:rPr>
          <w:rFonts w:hint="eastAsia"/>
          <w:bCs/>
          <w:szCs w:val="22"/>
          <w:highlight w:val="none"/>
        </w:rPr>
        <w:t>：</w:t>
      </w:r>
    </w:p>
    <w:p w14:paraId="78658E64">
      <w:pPr>
        <w:snapToGrid w:val="0"/>
        <w:spacing w:line="400" w:lineRule="exact"/>
        <w:outlineLvl w:val="4"/>
        <w:rPr>
          <w:highlight w:val="none"/>
        </w:rPr>
      </w:pPr>
    </w:p>
    <w:p w14:paraId="5662C2A9">
      <w:pPr>
        <w:pStyle w:val="4"/>
        <w:rPr>
          <w:highlight w:val="none"/>
        </w:rPr>
      </w:pPr>
    </w:p>
    <w:p w14:paraId="39AF9574">
      <w:pPr>
        <w:snapToGrid w:val="0"/>
        <w:spacing w:line="400" w:lineRule="exact"/>
        <w:outlineLvl w:val="4"/>
        <w:rPr>
          <w:bCs/>
          <w:highlight w:val="none"/>
        </w:rPr>
      </w:pPr>
      <w:r>
        <w:rPr>
          <w:bCs/>
          <w:highlight w:val="none"/>
        </w:rPr>
        <w:t>附：法定代表人有效的身份证复印件及授权代表有效的身份证复印件</w:t>
      </w:r>
    </w:p>
    <w:p w14:paraId="60CB2552">
      <w:pPr>
        <w:pStyle w:val="4"/>
        <w:rPr>
          <w:highlight w:val="none"/>
        </w:rPr>
      </w:pPr>
      <w:r>
        <w:rPr>
          <w:rFonts w:hint="eastAsia"/>
          <w:bCs/>
          <w:highlight w:val="none"/>
        </w:rPr>
        <w:t>注：本授权委托书需由投标人加盖单位公章并由其法定代表人和委托代理签字或签章。</w:t>
      </w:r>
    </w:p>
    <w:p w14:paraId="1797BA56">
      <w:pPr>
        <w:pStyle w:val="4"/>
        <w:ind w:firstLine="420" w:firstLineChars="200"/>
        <w:rPr>
          <w:bCs/>
          <w:highlight w:val="none"/>
        </w:rPr>
      </w:pPr>
    </w:p>
    <w:p w14:paraId="64502475">
      <w:pPr>
        <w:pStyle w:val="9"/>
        <w:keepNext w:val="0"/>
        <w:pageBreakBefore/>
        <w:spacing w:line="400" w:lineRule="exact"/>
        <w:rPr>
          <w:rFonts w:ascii="Times New Roman" w:hAnsi="Times New Roman" w:eastAsia="宋体" w:cs="Times New Roman"/>
          <w:bCs w:val="0"/>
          <w:kern w:val="0"/>
          <w:sz w:val="21"/>
          <w:szCs w:val="21"/>
          <w:highlight w:val="none"/>
        </w:rPr>
        <w:sectPr>
          <w:pgSz w:w="11905" w:h="16838"/>
          <w:pgMar w:top="1417" w:right="1361" w:bottom="1417" w:left="1361" w:header="850" w:footer="992" w:gutter="0"/>
          <w:cols w:space="0" w:num="1"/>
          <w:rtlGutter w:val="0"/>
          <w:docGrid w:type="lines" w:linePitch="312" w:charSpace="0"/>
        </w:sectPr>
      </w:pPr>
    </w:p>
    <w:p w14:paraId="46547026">
      <w:pPr>
        <w:spacing w:line="380" w:lineRule="exact"/>
        <w:rPr>
          <w:rFonts w:ascii="宋体" w:hAnsi="宋体" w:cs="宋体"/>
          <w:b/>
          <w:highlight w:val="none"/>
        </w:rPr>
      </w:pPr>
      <w:r>
        <w:rPr>
          <w:rFonts w:hint="eastAsia" w:ascii="宋体" w:hAnsi="宋体" w:cs="宋体"/>
          <w:b/>
          <w:bCs/>
          <w:highlight w:val="none"/>
        </w:rPr>
        <w:t>附件5、</w:t>
      </w:r>
      <w:r>
        <w:rPr>
          <w:rFonts w:hint="eastAsia" w:ascii="宋体" w:hAnsi="宋体" w:cs="宋体"/>
          <w:b/>
          <w:highlight w:val="none"/>
        </w:rPr>
        <w:t>磋商保证金缴纳证明。（加盖投标人公章）（如磋商文件有要求时必须提供）</w:t>
      </w:r>
    </w:p>
    <w:p w14:paraId="598D9B79">
      <w:pPr>
        <w:spacing w:line="380" w:lineRule="exact"/>
        <w:rPr>
          <w:rFonts w:ascii="宋体" w:hAnsi="宋体" w:cs="宋体"/>
          <w:b/>
          <w:bCs/>
          <w:highlight w:val="none"/>
        </w:rPr>
      </w:pPr>
    </w:p>
    <w:p w14:paraId="7BFA5ACC">
      <w:pPr>
        <w:spacing w:line="380" w:lineRule="exact"/>
        <w:rPr>
          <w:rFonts w:ascii="宋体" w:hAnsi="宋体" w:cs="宋体"/>
          <w:b/>
          <w:bCs/>
          <w:highlight w:val="none"/>
        </w:rPr>
      </w:pPr>
      <w:r>
        <w:rPr>
          <w:rFonts w:hint="eastAsia" w:ascii="宋体" w:hAnsi="宋体" w:cs="宋体"/>
          <w:b/>
          <w:bCs/>
          <w:highlight w:val="none"/>
        </w:rPr>
        <w:t>附件6、资格审查部分</w:t>
      </w:r>
    </w:p>
    <w:p w14:paraId="23F0B8A2">
      <w:pPr>
        <w:spacing w:line="380" w:lineRule="exact"/>
        <w:rPr>
          <w:rFonts w:ascii="宋体" w:hAnsi="宋体" w:cs="宋体"/>
          <w:highlight w:val="none"/>
        </w:rPr>
      </w:pPr>
      <w:r>
        <w:rPr>
          <w:rFonts w:hint="eastAsia" w:ascii="宋体" w:hAnsi="宋体" w:cs="宋体"/>
          <w:b/>
          <w:bCs/>
          <w:highlight w:val="none"/>
        </w:rPr>
        <w:t>6-1.</w:t>
      </w:r>
      <w:r>
        <w:rPr>
          <w:rFonts w:hint="eastAsia" w:ascii="宋体" w:hAnsi="宋体" w:cs="宋体"/>
          <w:highlight w:val="none"/>
        </w:rPr>
        <w:t>法人或者其他组织的营业执照等证明文件。即投标人是企业则提供营业执照（副本）复印件；投标人是事业单位，则提供事业单位法人证书（副本）复印件；投标人是非企业专业服务机构的，则提供执业许可证等证明文件复印件；投标人是个体工商户，则提供个体工商户营业执照复印件；如投标人不是以上所列的法人、组织的，则提供国家规定的相关证明材料。</w:t>
      </w:r>
      <w:r>
        <w:rPr>
          <w:rFonts w:hint="eastAsia" w:ascii="宋体" w:hAnsi="宋体" w:cs="宋体"/>
          <w:b/>
          <w:bCs/>
          <w:highlight w:val="none"/>
        </w:rPr>
        <w:t>（加盖投标人公章）（必须提供）</w:t>
      </w:r>
    </w:p>
    <w:p w14:paraId="7DE64566">
      <w:pPr>
        <w:spacing w:line="380" w:lineRule="exact"/>
        <w:rPr>
          <w:rFonts w:ascii="宋体" w:hAnsi="宋体" w:cs="宋体"/>
          <w:b/>
          <w:highlight w:val="none"/>
        </w:rPr>
      </w:pPr>
    </w:p>
    <w:p w14:paraId="2B2AA212">
      <w:pPr>
        <w:spacing w:line="380" w:lineRule="exact"/>
        <w:rPr>
          <w:rFonts w:ascii="宋体" w:hAnsi="宋体" w:cs="宋体"/>
          <w:bCs/>
          <w:highlight w:val="none"/>
        </w:rPr>
      </w:pPr>
      <w:r>
        <w:rPr>
          <w:rFonts w:hint="eastAsia" w:ascii="宋体" w:hAnsi="宋体" w:cs="宋体"/>
          <w:b/>
          <w:highlight w:val="none"/>
        </w:rPr>
        <w:t>6-2.</w:t>
      </w:r>
      <w:r>
        <w:rPr>
          <w:rFonts w:hint="eastAsia" w:ascii="宋体" w:hAnsi="宋体" w:cs="宋体"/>
          <w:bCs/>
          <w:highlight w:val="none"/>
        </w:rPr>
        <w:t>2024年财务状况报告（表）复印件或银行出具的资信证明复印件。对于从取得营业执照时间起到截标时间为止不足1年的投标人，只需提交截标时间前一个月的财务状况报告（表）复印件。</w:t>
      </w:r>
      <w:r>
        <w:rPr>
          <w:rFonts w:hint="eastAsia" w:ascii="宋体" w:hAnsi="宋体" w:cs="宋体"/>
          <w:b/>
          <w:highlight w:val="none"/>
        </w:rPr>
        <w:t>（加盖投标人公章）（必须提供）</w:t>
      </w:r>
    </w:p>
    <w:p w14:paraId="1DEA2A7F">
      <w:pPr>
        <w:spacing w:line="380" w:lineRule="exact"/>
        <w:rPr>
          <w:rFonts w:ascii="宋体" w:hAnsi="宋体" w:cs="宋体"/>
          <w:b/>
          <w:highlight w:val="none"/>
        </w:rPr>
      </w:pPr>
    </w:p>
    <w:p w14:paraId="3FAB7A38">
      <w:pPr>
        <w:snapToGrid w:val="0"/>
        <w:spacing w:line="380" w:lineRule="exact"/>
        <w:jc w:val="left"/>
        <w:rPr>
          <w:rFonts w:ascii="宋体" w:hAnsi="宋体" w:cs="宋体"/>
          <w:bCs/>
          <w:highlight w:val="none"/>
        </w:rPr>
      </w:pPr>
      <w:r>
        <w:rPr>
          <w:rFonts w:hint="eastAsia" w:ascii="宋体" w:hAnsi="宋体" w:cs="宋体"/>
          <w:b/>
          <w:highlight w:val="none"/>
        </w:rPr>
        <w:t>6-3.</w:t>
      </w:r>
      <w:r>
        <w:rPr>
          <w:rFonts w:hint="eastAsia" w:ascii="宋体" w:hAnsi="宋体" w:cs="宋体"/>
          <w:bCs/>
          <w:highlight w:val="none"/>
        </w:rPr>
        <w:t>依法缴纳税费证明。投标截止时间前6个月内，投标人任意1个月依法缴纳税费证明复印件加盖投标人公章。投标人成立不足1个月的，无须提供缴纳税费证明加盖投标人公章。依法免税的投标人，须提供相应文件证明其依法免税。</w:t>
      </w:r>
      <w:r>
        <w:rPr>
          <w:rFonts w:hint="eastAsia" w:ascii="宋体" w:hAnsi="宋体" w:cs="宋体"/>
          <w:b/>
          <w:highlight w:val="none"/>
        </w:rPr>
        <w:t>（加盖投标人公章）（必须提供）</w:t>
      </w:r>
    </w:p>
    <w:p w14:paraId="556BAF12">
      <w:pPr>
        <w:snapToGrid w:val="0"/>
        <w:spacing w:line="380" w:lineRule="exact"/>
        <w:jc w:val="left"/>
        <w:rPr>
          <w:rFonts w:ascii="宋体" w:hAnsi="宋体" w:cs="宋体"/>
          <w:bCs/>
          <w:highlight w:val="none"/>
        </w:rPr>
      </w:pPr>
    </w:p>
    <w:p w14:paraId="27C16FA3">
      <w:pPr>
        <w:snapToGrid w:val="0"/>
        <w:spacing w:line="380" w:lineRule="exact"/>
        <w:jc w:val="left"/>
        <w:rPr>
          <w:rFonts w:ascii="宋体" w:hAnsi="宋体" w:cs="宋体"/>
          <w:bCs/>
          <w:highlight w:val="none"/>
        </w:rPr>
      </w:pPr>
      <w:r>
        <w:rPr>
          <w:rFonts w:hint="eastAsia" w:ascii="宋体" w:hAnsi="宋体" w:cs="宋体"/>
          <w:b/>
          <w:highlight w:val="none"/>
        </w:rPr>
        <w:t>6-4.</w:t>
      </w:r>
      <w:r>
        <w:rPr>
          <w:rFonts w:hint="eastAsia" w:ascii="宋体" w:hAnsi="宋体" w:cs="宋体"/>
          <w:bCs/>
          <w:highlight w:val="none"/>
        </w:rPr>
        <w:t>依法缴纳社会保险缴纳证明材料。协商截止时间前6个月内，投标人任意1个月的社保缴费证明记录复印件加盖投标人公章。投标人成立不足1个月的，无须提供缴纳社保缴费证明加盖投标人公章。依法免缴纳社会保障资金的投标人，须提供相应文件证明其依法免缴纳社会保障资金。</w:t>
      </w:r>
      <w:r>
        <w:rPr>
          <w:rFonts w:hint="eastAsia" w:ascii="宋体" w:hAnsi="宋体" w:cs="宋体"/>
          <w:b/>
          <w:highlight w:val="none"/>
        </w:rPr>
        <w:t>（加盖投标人公章）（必须提供）</w:t>
      </w:r>
    </w:p>
    <w:p w14:paraId="692E5421">
      <w:pPr>
        <w:spacing w:line="380" w:lineRule="exact"/>
        <w:rPr>
          <w:rFonts w:ascii="宋体" w:hAnsi="宋体" w:cs="宋体"/>
          <w:b/>
          <w:highlight w:val="none"/>
        </w:rPr>
      </w:pPr>
    </w:p>
    <w:p w14:paraId="1F152DD7">
      <w:pPr>
        <w:spacing w:line="380" w:lineRule="exact"/>
        <w:rPr>
          <w:rFonts w:ascii="宋体" w:hAnsi="宋体" w:cs="宋体"/>
          <w:b/>
          <w:highlight w:val="none"/>
        </w:rPr>
      </w:pPr>
      <w:r>
        <w:rPr>
          <w:rFonts w:hint="eastAsia" w:ascii="宋体" w:hAnsi="宋体" w:cs="宋体"/>
          <w:b/>
          <w:highlight w:val="none"/>
        </w:rPr>
        <w:t>6-5.</w:t>
      </w:r>
      <w:r>
        <w:rPr>
          <w:rFonts w:hint="eastAsia" w:ascii="宋体" w:hAnsi="宋体" w:cs="宋体"/>
          <w:bCs/>
          <w:highlight w:val="none"/>
        </w:rPr>
        <w:t>信用信息</w:t>
      </w:r>
      <w:r>
        <w:rPr>
          <w:rFonts w:hint="eastAsia" w:ascii="宋体" w:hAnsi="宋体" w:cs="宋体"/>
          <w:b/>
          <w:highlight w:val="none"/>
        </w:rPr>
        <w:t>（必须提供）</w:t>
      </w:r>
    </w:p>
    <w:p w14:paraId="1BFAC0A4">
      <w:pPr>
        <w:adjustRightInd w:val="0"/>
        <w:snapToGrid w:val="0"/>
        <w:spacing w:line="380" w:lineRule="exact"/>
        <w:ind w:firstLine="420" w:firstLineChars="200"/>
        <w:jc w:val="left"/>
        <w:rPr>
          <w:rFonts w:ascii="宋体" w:hAnsi="宋体" w:cs="宋体"/>
          <w:highlight w:val="none"/>
        </w:rPr>
      </w:pPr>
      <w:r>
        <w:rPr>
          <w:rFonts w:hint="eastAsia" w:ascii="宋体" w:hAnsi="宋体" w:cs="宋体"/>
          <w:bCs/>
          <w:highlight w:val="none"/>
        </w:rPr>
        <w:t>信用信息证明材料。</w:t>
      </w:r>
      <w:r>
        <w:rPr>
          <w:rFonts w:hint="eastAsia" w:ascii="宋体" w:hAnsi="宋体" w:cs="宋体"/>
          <w:highlight w:val="none"/>
        </w:rPr>
        <w:t>投标人可在“信用中国”网站（www.creditchina.gov.cn）查询投标人主体信用记录</w:t>
      </w:r>
      <w:r>
        <w:rPr>
          <w:rFonts w:hint="eastAsia" w:ascii="宋体" w:hAnsi="宋体" w:cs="宋体"/>
          <w:b/>
          <w:bCs/>
          <w:highlight w:val="none"/>
        </w:rPr>
        <w:t>（网站查询记录必须提供）</w:t>
      </w:r>
      <w:r>
        <w:rPr>
          <w:rFonts w:hint="eastAsia" w:ascii="宋体" w:hAnsi="宋体" w:cs="宋体"/>
          <w:highlight w:val="none"/>
        </w:rPr>
        <w:t>。</w:t>
      </w:r>
    </w:p>
    <w:p w14:paraId="02A195E7">
      <w:pPr>
        <w:pStyle w:val="28"/>
        <w:tabs>
          <w:tab w:val="left" w:pos="2127"/>
        </w:tabs>
        <w:spacing w:line="380" w:lineRule="exact"/>
        <w:ind w:firstLine="420" w:firstLineChars="200"/>
        <w:rPr>
          <w:rFonts w:hAnsi="宋体" w:eastAsia="宋体"/>
          <w:highlight w:val="none"/>
        </w:rPr>
      </w:pPr>
      <w:r>
        <w:rPr>
          <w:rFonts w:hint="eastAsia" w:hAnsi="宋体" w:eastAsia="宋体"/>
          <w:kern w:val="0"/>
          <w:highlight w:val="none"/>
        </w:rPr>
        <w:t>信用信息查询结果网页打印件（查询结果网页打印件并加盖公章）</w:t>
      </w:r>
    </w:p>
    <w:p w14:paraId="1E9EEDC5">
      <w:pPr>
        <w:pStyle w:val="28"/>
        <w:tabs>
          <w:tab w:val="left" w:pos="2127"/>
        </w:tabs>
        <w:spacing w:line="380" w:lineRule="exact"/>
        <w:ind w:firstLine="420" w:firstLineChars="200"/>
        <w:rPr>
          <w:rFonts w:hAnsi="宋体" w:eastAsia="宋体"/>
          <w:highlight w:val="none"/>
        </w:rPr>
      </w:pPr>
      <w:r>
        <w:rPr>
          <w:rFonts w:hint="eastAsia" w:hAnsi="宋体" w:eastAsia="宋体"/>
          <w:highlight w:val="none"/>
        </w:rPr>
        <w:t>网页</w:t>
      </w:r>
      <w:r>
        <w:rPr>
          <w:rFonts w:hint="eastAsia" w:hAnsi="宋体" w:eastAsia="宋体"/>
          <w:kern w:val="0"/>
          <w:highlight w:val="none"/>
        </w:rPr>
        <w:t>打印件</w:t>
      </w:r>
      <w:r>
        <w:rPr>
          <w:rFonts w:hint="eastAsia" w:hAnsi="宋体" w:eastAsia="宋体"/>
          <w:highlight w:val="none"/>
        </w:rPr>
        <w:t>须显示投标人名称以及“失信被执行人”、“</w:t>
      </w:r>
      <w:r>
        <w:rPr>
          <w:rFonts w:ascii="Times New Roman" w:hAnsi="Times New Roman" w:cs="Times New Roman" w:eastAsiaTheme="minorEastAsia"/>
          <w:kern w:val="0"/>
          <w:highlight w:val="none"/>
        </w:rPr>
        <w:t>重大税收违法失信主体</w:t>
      </w:r>
      <w:r>
        <w:rPr>
          <w:rFonts w:hint="eastAsia" w:hAnsi="宋体" w:eastAsia="宋体"/>
          <w:highlight w:val="none"/>
        </w:rPr>
        <w:t>”查询结果、打印时间或查询时间。</w:t>
      </w:r>
    </w:p>
    <w:p w14:paraId="40CE4F1A">
      <w:pPr>
        <w:pStyle w:val="18"/>
        <w:spacing w:line="380" w:lineRule="exact"/>
        <w:ind w:left="0"/>
        <w:rPr>
          <w:rFonts w:ascii="宋体" w:hAnsi="宋体" w:cs="宋体"/>
          <w:highlight w:val="none"/>
        </w:rPr>
      </w:pPr>
    </w:p>
    <w:p w14:paraId="4ABC0C8B">
      <w:pPr>
        <w:pStyle w:val="18"/>
        <w:ind w:left="0"/>
        <w:rPr>
          <w:rFonts w:ascii="宋体" w:hAnsi="宋体" w:cs="宋体"/>
          <w:b/>
          <w:highlight w:val="none"/>
        </w:rPr>
      </w:pPr>
    </w:p>
    <w:p w14:paraId="00436B72">
      <w:pPr>
        <w:pStyle w:val="18"/>
        <w:ind w:left="0"/>
        <w:rPr>
          <w:rFonts w:ascii="Arial" w:hAnsi="Arial" w:cs="Arial"/>
          <w:highlight w:val="none"/>
        </w:rPr>
      </w:pPr>
      <w:r>
        <w:rPr>
          <w:rFonts w:hint="eastAsia" w:ascii="Arial" w:hAnsi="Arial" w:cs="Arial"/>
          <w:highlight w:val="none"/>
        </w:rPr>
        <w:t>信用中国</w:t>
      </w:r>
      <w:r>
        <w:rPr>
          <w:rFonts w:ascii="Arial" w:hAnsi="Arial" w:cs="Arial"/>
          <w:highlight w:val="none"/>
        </w:rPr>
        <w:t>失信被执行人</w:t>
      </w:r>
      <w:r>
        <w:rPr>
          <w:rFonts w:hint="eastAsia" w:ascii="Arial" w:hAnsi="Arial" w:cs="Arial"/>
          <w:highlight w:val="none"/>
        </w:rPr>
        <w:t>查询示意图</w:t>
      </w:r>
    </w:p>
    <w:p w14:paraId="4910F8B1">
      <w:pPr>
        <w:rPr>
          <w:highlight w:val="none"/>
        </w:rPr>
      </w:pPr>
      <w:r>
        <w:rPr>
          <w:rFonts w:hint="eastAsia"/>
          <w:highlight w:val="none"/>
        </w:rPr>
        <w:drawing>
          <wp:inline distT="0" distB="0" distL="114300" distR="114300">
            <wp:extent cx="5822950" cy="3689985"/>
            <wp:effectExtent l="0" t="0" r="6350" b="5715"/>
            <wp:docPr id="3" name="图片 3" descr="172112245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1122455748"/>
                    <pic:cNvPicPr>
                      <a:picLocks noChangeAspect="1"/>
                    </pic:cNvPicPr>
                  </pic:nvPicPr>
                  <pic:blipFill>
                    <a:blip r:embed="rId11"/>
                    <a:stretch>
                      <a:fillRect/>
                    </a:stretch>
                  </pic:blipFill>
                  <pic:spPr>
                    <a:xfrm>
                      <a:off x="0" y="0"/>
                      <a:ext cx="5822950" cy="3689985"/>
                    </a:xfrm>
                    <a:prstGeom prst="rect">
                      <a:avLst/>
                    </a:prstGeom>
                  </pic:spPr>
                </pic:pic>
              </a:graphicData>
            </a:graphic>
          </wp:inline>
        </w:drawing>
      </w:r>
    </w:p>
    <w:p w14:paraId="081B36A9">
      <w:pPr>
        <w:rPr>
          <w:highlight w:val="none"/>
        </w:rPr>
      </w:pPr>
      <w:r>
        <w:rPr>
          <w:rFonts w:hint="eastAsia"/>
          <w:highlight w:val="none"/>
        </w:rPr>
        <w:drawing>
          <wp:inline distT="0" distB="0" distL="114300" distR="114300">
            <wp:extent cx="5827395" cy="4164965"/>
            <wp:effectExtent l="0" t="0" r="1905" b="6985"/>
            <wp:docPr id="4" name="图片 4" descr="172112329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21123295230"/>
                    <pic:cNvPicPr>
                      <a:picLocks noChangeAspect="1"/>
                    </pic:cNvPicPr>
                  </pic:nvPicPr>
                  <pic:blipFill>
                    <a:blip r:embed="rId12"/>
                    <a:stretch>
                      <a:fillRect/>
                    </a:stretch>
                  </pic:blipFill>
                  <pic:spPr>
                    <a:xfrm>
                      <a:off x="0" y="0"/>
                      <a:ext cx="5827395" cy="4164965"/>
                    </a:xfrm>
                    <a:prstGeom prst="rect">
                      <a:avLst/>
                    </a:prstGeom>
                  </pic:spPr>
                </pic:pic>
              </a:graphicData>
            </a:graphic>
          </wp:inline>
        </w:drawing>
      </w:r>
    </w:p>
    <w:p w14:paraId="3DCF20AD">
      <w:pPr>
        <w:pStyle w:val="20"/>
        <w:rPr>
          <w:highlight w:val="none"/>
        </w:rPr>
      </w:pPr>
      <w:r>
        <w:rPr>
          <w:rFonts w:hint="eastAsia"/>
          <w:highlight w:val="none"/>
        </w:rPr>
        <w:drawing>
          <wp:inline distT="0" distB="0" distL="114300" distR="114300">
            <wp:extent cx="5419725" cy="5039995"/>
            <wp:effectExtent l="0" t="0" r="9525" b="8255"/>
            <wp:docPr id="5" name="图片 5" descr="172112361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1123615301"/>
                    <pic:cNvPicPr>
                      <a:picLocks noChangeAspect="1"/>
                    </pic:cNvPicPr>
                  </pic:nvPicPr>
                  <pic:blipFill>
                    <a:blip r:embed="rId13"/>
                    <a:stretch>
                      <a:fillRect/>
                    </a:stretch>
                  </pic:blipFill>
                  <pic:spPr>
                    <a:xfrm>
                      <a:off x="0" y="0"/>
                      <a:ext cx="5419725" cy="5039995"/>
                    </a:xfrm>
                    <a:prstGeom prst="rect">
                      <a:avLst/>
                    </a:prstGeom>
                  </pic:spPr>
                </pic:pic>
              </a:graphicData>
            </a:graphic>
          </wp:inline>
        </w:drawing>
      </w:r>
    </w:p>
    <w:p w14:paraId="3552D5A4">
      <w:pPr>
        <w:pStyle w:val="4"/>
        <w:kinsoku w:val="0"/>
        <w:overflowPunct w:val="0"/>
        <w:spacing w:after="0" w:line="240" w:lineRule="exact"/>
        <w:rPr>
          <w:rFonts w:ascii="Arial" w:hAnsi="Arial" w:cs="Arial"/>
          <w:highlight w:val="none"/>
        </w:rPr>
      </w:pPr>
      <w:r>
        <w:rPr>
          <w:rFonts w:hint="eastAsia" w:ascii="Arial" w:hAnsi="Arial" w:cs="Arial"/>
          <w:highlight w:val="none"/>
        </w:rPr>
        <w:t>打印时勾选页眉和页脚，显示查询时间</w:t>
      </w:r>
    </w:p>
    <w:p w14:paraId="515D6DA6">
      <w:pPr>
        <w:spacing w:line="240" w:lineRule="exact"/>
        <w:rPr>
          <w:highlight w:val="none"/>
        </w:rPr>
      </w:pPr>
    </w:p>
    <w:p w14:paraId="59841FB5">
      <w:pPr>
        <w:pStyle w:val="18"/>
        <w:spacing w:line="240" w:lineRule="exact"/>
        <w:ind w:left="0"/>
        <w:rPr>
          <w:highlight w:val="none"/>
        </w:rPr>
      </w:pPr>
      <w:r>
        <w:rPr>
          <w:rFonts w:eastAsiaTheme="minorEastAsia"/>
          <w:kern w:val="0"/>
          <w:highlight w:val="none"/>
        </w:rPr>
        <w:t>重大税收违法失信主体</w:t>
      </w:r>
      <w:r>
        <w:rPr>
          <w:rFonts w:hint="eastAsia" w:ascii="Arial" w:hAnsi="Arial" w:cs="Arial"/>
          <w:highlight w:val="none"/>
        </w:rPr>
        <w:t>查询示意图</w:t>
      </w:r>
    </w:p>
    <w:p w14:paraId="2150B6A7">
      <w:pPr>
        <w:jc w:val="left"/>
        <w:rPr>
          <w:highlight w:val="none"/>
        </w:rPr>
      </w:pPr>
      <w:r>
        <w:rPr>
          <w:rFonts w:ascii="宋体" w:hAnsi="宋体" w:cs="宋体"/>
          <w:sz w:val="24"/>
          <w:szCs w:val="24"/>
          <w:highlight w:val="none"/>
        </w:rPr>
        <w:drawing>
          <wp:inline distT="0" distB="0" distL="114300" distR="114300">
            <wp:extent cx="5311775" cy="3031490"/>
            <wp:effectExtent l="0" t="0" r="6985" b="127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4"/>
                    <a:stretch>
                      <a:fillRect/>
                    </a:stretch>
                  </pic:blipFill>
                  <pic:spPr>
                    <a:xfrm>
                      <a:off x="0" y="0"/>
                      <a:ext cx="5311775" cy="3031490"/>
                    </a:xfrm>
                    <a:prstGeom prst="rect">
                      <a:avLst/>
                    </a:prstGeom>
                    <a:noFill/>
                    <a:ln w="9525">
                      <a:noFill/>
                    </a:ln>
                  </pic:spPr>
                </pic:pic>
              </a:graphicData>
            </a:graphic>
          </wp:inline>
        </w:drawing>
      </w:r>
    </w:p>
    <w:p w14:paraId="2BD39F96">
      <w:pPr>
        <w:jc w:val="left"/>
        <w:rPr>
          <w:highlight w:val="none"/>
        </w:rPr>
      </w:pPr>
      <w:r>
        <w:rPr>
          <w:rFonts w:ascii="宋体" w:hAnsi="宋体" w:cs="宋体"/>
          <w:sz w:val="24"/>
          <w:szCs w:val="24"/>
          <w:highlight w:val="none"/>
        </w:rPr>
        <w:drawing>
          <wp:inline distT="0" distB="0" distL="114300" distR="114300">
            <wp:extent cx="5374005" cy="3453130"/>
            <wp:effectExtent l="0" t="0" r="0" b="635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5"/>
                    <a:stretch>
                      <a:fillRect/>
                    </a:stretch>
                  </pic:blipFill>
                  <pic:spPr>
                    <a:xfrm>
                      <a:off x="0" y="0"/>
                      <a:ext cx="5374005" cy="3453130"/>
                    </a:xfrm>
                    <a:prstGeom prst="rect">
                      <a:avLst/>
                    </a:prstGeom>
                    <a:noFill/>
                    <a:ln w="9525">
                      <a:noFill/>
                    </a:ln>
                  </pic:spPr>
                </pic:pic>
              </a:graphicData>
            </a:graphic>
          </wp:inline>
        </w:drawing>
      </w:r>
    </w:p>
    <w:p w14:paraId="5E895396">
      <w:pPr>
        <w:jc w:val="left"/>
        <w:rPr>
          <w:highlight w:val="none"/>
        </w:rPr>
      </w:pPr>
      <w:r>
        <w:rPr>
          <w:rFonts w:ascii="宋体" w:hAnsi="宋体" w:cs="宋体"/>
          <w:sz w:val="24"/>
          <w:szCs w:val="24"/>
          <w:highlight w:val="none"/>
        </w:rPr>
        <w:drawing>
          <wp:inline distT="0" distB="0" distL="114300" distR="114300">
            <wp:extent cx="4377055" cy="4859020"/>
            <wp:effectExtent l="0" t="0" r="12065" b="2540"/>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16"/>
                    <a:stretch>
                      <a:fillRect/>
                    </a:stretch>
                  </pic:blipFill>
                  <pic:spPr>
                    <a:xfrm>
                      <a:off x="0" y="0"/>
                      <a:ext cx="4377055" cy="4859020"/>
                    </a:xfrm>
                    <a:prstGeom prst="rect">
                      <a:avLst/>
                    </a:prstGeom>
                    <a:noFill/>
                    <a:ln w="9525">
                      <a:noFill/>
                    </a:ln>
                  </pic:spPr>
                </pic:pic>
              </a:graphicData>
            </a:graphic>
          </wp:inline>
        </w:drawing>
      </w:r>
    </w:p>
    <w:p w14:paraId="7DD14FFA">
      <w:pPr>
        <w:snapToGrid w:val="0"/>
        <w:spacing w:before="50" w:after="156" w:afterLines="50" w:line="400" w:lineRule="exact"/>
        <w:jc w:val="left"/>
        <w:rPr>
          <w:rFonts w:ascii="Arial" w:hAnsi="Arial" w:cs="Arial"/>
          <w:highlight w:val="none"/>
        </w:rPr>
      </w:pPr>
      <w:r>
        <w:rPr>
          <w:rFonts w:hint="eastAsia" w:ascii="Arial" w:hAnsi="Arial" w:cs="Arial"/>
          <w:highlight w:val="none"/>
        </w:rPr>
        <w:t>打印时勾选页眉和页脚，显示查询时间</w:t>
      </w:r>
    </w:p>
    <w:p w14:paraId="09714044">
      <w:pPr>
        <w:jc w:val="left"/>
        <w:rPr>
          <w:rFonts w:ascii="Arial" w:hAnsi="Arial" w:cs="Arial"/>
          <w:highlight w:val="none"/>
        </w:rPr>
      </w:pPr>
      <w:r>
        <w:rPr>
          <w:rFonts w:hint="eastAsia" w:ascii="Arial" w:hAnsi="Arial" w:cs="Arial"/>
          <w:highlight w:val="none"/>
        </w:rPr>
        <w:br w:type="page"/>
      </w:r>
    </w:p>
    <w:p w14:paraId="0CC7A3E3">
      <w:pPr>
        <w:spacing w:line="380" w:lineRule="exact"/>
        <w:rPr>
          <w:rFonts w:ascii="宋体" w:hAnsi="宋体" w:cs="宋体"/>
          <w:b/>
          <w:highlight w:val="none"/>
        </w:rPr>
      </w:pPr>
      <w:r>
        <w:rPr>
          <w:rFonts w:hint="eastAsia" w:ascii="宋体" w:hAnsi="宋体" w:cs="宋体"/>
          <w:b/>
          <w:highlight w:val="none"/>
        </w:rPr>
        <w:t>6.6.</w:t>
      </w:r>
      <w:r>
        <w:rPr>
          <w:rFonts w:hint="eastAsia" w:ascii="宋体" w:hAnsi="宋体" w:cs="宋体"/>
          <w:bCs/>
          <w:highlight w:val="none"/>
        </w:rPr>
        <w:t>具备法律、行政法规规定的其他要求的证明材料。</w:t>
      </w:r>
      <w:r>
        <w:rPr>
          <w:rFonts w:hint="eastAsia" w:ascii="宋体" w:hAnsi="宋体" w:cs="宋体"/>
          <w:b/>
          <w:highlight w:val="none"/>
        </w:rPr>
        <w:t>（加盖投标人公章）（如磋商文件有要求时必须提供）</w:t>
      </w:r>
    </w:p>
    <w:p w14:paraId="2622FE35">
      <w:pPr>
        <w:spacing w:line="380" w:lineRule="exact"/>
        <w:rPr>
          <w:rFonts w:ascii="宋体" w:hAnsi="宋体" w:cs="宋体"/>
          <w:b/>
          <w:highlight w:val="none"/>
        </w:rPr>
      </w:pPr>
    </w:p>
    <w:p w14:paraId="3425B04F">
      <w:pPr>
        <w:spacing w:line="380" w:lineRule="exact"/>
        <w:rPr>
          <w:rFonts w:ascii="宋体" w:hAnsi="宋体" w:cs="宋体"/>
          <w:b/>
          <w:highlight w:val="none"/>
        </w:rPr>
      </w:pPr>
      <w:r>
        <w:rPr>
          <w:rFonts w:hint="eastAsia" w:ascii="宋体" w:hAnsi="宋体" w:cs="宋体"/>
          <w:b/>
          <w:highlight w:val="none"/>
        </w:rPr>
        <w:t>6-7.</w:t>
      </w:r>
      <w:r>
        <w:rPr>
          <w:rFonts w:hint="eastAsia" w:ascii="宋体" w:hAnsi="宋体" w:cs="宋体"/>
          <w:bCs/>
          <w:highlight w:val="none"/>
        </w:rPr>
        <w:t>满足投标人特定资格条件的其他证明材料加盖投标人公章。</w:t>
      </w:r>
      <w:r>
        <w:rPr>
          <w:rFonts w:hint="eastAsia" w:ascii="宋体" w:hAnsi="宋体" w:cs="宋体"/>
          <w:b/>
          <w:highlight w:val="none"/>
        </w:rPr>
        <w:t>（加盖投标人公章）（如磋商文件有要求时必须提供）</w:t>
      </w:r>
    </w:p>
    <w:p w14:paraId="65444D20">
      <w:pPr>
        <w:spacing w:line="380" w:lineRule="exact"/>
        <w:rPr>
          <w:rFonts w:ascii="宋体" w:hAnsi="宋体" w:cs="宋体"/>
          <w:b/>
          <w:highlight w:val="none"/>
        </w:rPr>
      </w:pPr>
    </w:p>
    <w:p w14:paraId="51B47FB1">
      <w:pPr>
        <w:spacing w:line="380" w:lineRule="exact"/>
        <w:rPr>
          <w:rFonts w:ascii="宋体" w:hAnsi="宋体" w:cs="宋体"/>
          <w:bCs/>
          <w:highlight w:val="none"/>
        </w:rPr>
      </w:pPr>
      <w:r>
        <w:rPr>
          <w:rFonts w:hint="eastAsia" w:ascii="宋体" w:hAnsi="宋体" w:cs="宋体"/>
          <w:b/>
          <w:highlight w:val="none"/>
        </w:rPr>
        <w:t>6-8.</w:t>
      </w:r>
      <w:r>
        <w:rPr>
          <w:rFonts w:hint="eastAsia" w:ascii="宋体" w:hAnsi="宋体" w:cs="宋体"/>
          <w:bCs/>
          <w:highlight w:val="none"/>
        </w:rPr>
        <w:t>投标人认为应当要提交的资格证明材料。</w:t>
      </w:r>
      <w:r>
        <w:rPr>
          <w:rFonts w:hint="eastAsia" w:ascii="宋体" w:hAnsi="宋体" w:cs="宋体"/>
          <w:b/>
          <w:highlight w:val="none"/>
        </w:rPr>
        <w:t>（加盖投标人公章）</w:t>
      </w:r>
    </w:p>
    <w:p w14:paraId="6E234D81">
      <w:pPr>
        <w:rPr>
          <w:highlight w:val="none"/>
        </w:rPr>
      </w:pPr>
      <w:r>
        <w:rPr>
          <w:highlight w:val="none"/>
        </w:rPr>
        <w:br w:type="page"/>
      </w:r>
    </w:p>
    <w:p w14:paraId="1E5EBFCF">
      <w:pPr>
        <w:snapToGrid w:val="0"/>
        <w:spacing w:before="50" w:after="156" w:afterLines="50" w:line="400" w:lineRule="exact"/>
        <w:jc w:val="left"/>
        <w:rPr>
          <w:rFonts w:ascii="宋体" w:hAnsi="宋体" w:cs="宋体"/>
          <w:highlight w:val="none"/>
        </w:rPr>
      </w:pPr>
      <w:r>
        <w:rPr>
          <w:rFonts w:hint="eastAsia" w:ascii="宋体" w:hAnsi="宋体" w:cs="宋体"/>
          <w:b/>
          <w:bCs/>
          <w:highlight w:val="none"/>
        </w:rPr>
        <w:t>附件6-9.反商业贿赂承诺书</w:t>
      </w:r>
      <w:r>
        <w:rPr>
          <w:rFonts w:hint="eastAsia" w:ascii="宋体" w:hAnsi="宋体" w:cs="宋体"/>
          <w:b/>
          <w:kern w:val="0"/>
          <w:szCs w:val="22"/>
          <w:highlight w:val="none"/>
        </w:rPr>
        <w:t>（必须提供）</w:t>
      </w:r>
    </w:p>
    <w:p w14:paraId="75BB12A6">
      <w:pPr>
        <w:spacing w:line="480" w:lineRule="auto"/>
        <w:jc w:val="center"/>
        <w:outlineLvl w:val="1"/>
        <w:rPr>
          <w:rFonts w:ascii="宋体" w:hAnsi="宋体" w:cs="宋体"/>
          <w:b/>
          <w:highlight w:val="none"/>
        </w:rPr>
      </w:pPr>
      <w:r>
        <w:rPr>
          <w:rFonts w:hint="eastAsia" w:ascii="宋体" w:hAnsi="宋体" w:cs="宋体"/>
          <w:b/>
          <w:highlight w:val="none"/>
        </w:rPr>
        <w:t>反商业贿赂承诺书</w:t>
      </w:r>
    </w:p>
    <w:p w14:paraId="40EE90D9">
      <w:pPr>
        <w:spacing w:line="480" w:lineRule="auto"/>
        <w:ind w:right="-153" w:rightChars="-73" w:firstLine="420" w:firstLineChars="200"/>
        <w:rPr>
          <w:highlight w:val="none"/>
        </w:rPr>
      </w:pPr>
    </w:p>
    <w:p w14:paraId="402DA790">
      <w:pPr>
        <w:spacing w:line="480" w:lineRule="auto"/>
        <w:ind w:right="-153" w:rightChars="-73" w:firstLine="420" w:firstLineChars="200"/>
        <w:rPr>
          <w:highlight w:val="none"/>
        </w:rPr>
      </w:pPr>
      <w:r>
        <w:rPr>
          <w:highlight w:val="none"/>
        </w:rPr>
        <w:t>为推进桂林银行（以下简称</w:t>
      </w:r>
      <w:r>
        <w:rPr>
          <w:rFonts w:hint="eastAsia"/>
          <w:highlight w:val="none"/>
        </w:rPr>
        <w:t>“</w:t>
      </w:r>
      <w:r>
        <w:rPr>
          <w:highlight w:val="none"/>
        </w:rPr>
        <w:t>甲方</w:t>
      </w:r>
      <w:r>
        <w:rPr>
          <w:rFonts w:hint="eastAsia"/>
          <w:highlight w:val="none"/>
        </w:rPr>
        <w:t>”</w:t>
      </w:r>
      <w:r>
        <w:rPr>
          <w:highlight w:val="none"/>
        </w:rPr>
        <w:t>）项目（以下简称</w:t>
      </w:r>
      <w:r>
        <w:rPr>
          <w:rFonts w:hint="eastAsia"/>
          <w:highlight w:val="none"/>
        </w:rPr>
        <w:t>“</w:t>
      </w:r>
      <w:r>
        <w:rPr>
          <w:highlight w:val="none"/>
        </w:rPr>
        <w:t>项目</w:t>
      </w:r>
      <w:r>
        <w:rPr>
          <w:rFonts w:hint="eastAsia"/>
          <w:highlight w:val="none"/>
        </w:rPr>
        <w:t>”</w:t>
      </w:r>
      <w:r>
        <w:rPr>
          <w:highlight w:val="none"/>
        </w:rPr>
        <w:t>）过程中的规范运作，确保项目公平、公正、公开，防止行贿受贿等违法违纪案件的发生，承诺人特作如下承诺：</w:t>
      </w:r>
    </w:p>
    <w:p w14:paraId="3B986CD0">
      <w:pPr>
        <w:spacing w:line="480" w:lineRule="auto"/>
        <w:ind w:firstLine="420" w:firstLineChars="200"/>
        <w:rPr>
          <w:highlight w:val="none"/>
        </w:rPr>
      </w:pPr>
      <w:r>
        <w:rPr>
          <w:highlight w:val="none"/>
        </w:rPr>
        <w:t>一、在参与甲方项目全过程中，不以任何理由向甲方人员赠送钱、物、有价证券和免费提供劳务，不为甲方及其亲属支付应由其个人支付的各种费用。</w:t>
      </w:r>
    </w:p>
    <w:p w14:paraId="7095EC2D">
      <w:pPr>
        <w:spacing w:line="480" w:lineRule="auto"/>
        <w:ind w:firstLine="420" w:firstLineChars="200"/>
        <w:rPr>
          <w:highlight w:val="none"/>
        </w:rPr>
      </w:pPr>
      <w:r>
        <w:rPr>
          <w:highlight w:val="none"/>
        </w:rPr>
        <w:t>二、如若获得参与甲方项目资格，不同甲方人员从事本项目相关的物资买卖及中介活动。</w:t>
      </w:r>
    </w:p>
    <w:p w14:paraId="3D88C72F">
      <w:pPr>
        <w:spacing w:line="480" w:lineRule="auto"/>
        <w:ind w:firstLine="420" w:firstLineChars="200"/>
        <w:rPr>
          <w:highlight w:val="none"/>
        </w:rPr>
      </w:pPr>
      <w:r>
        <w:rPr>
          <w:highlight w:val="none"/>
        </w:rPr>
        <w:t>三、不操纵价格，不与其他项目参与人相互串通报价，不采取任何手段排挤其他项目参与人参与公平竞争和损害甲方利益。</w:t>
      </w:r>
    </w:p>
    <w:p w14:paraId="1B59D16F">
      <w:pPr>
        <w:spacing w:line="480" w:lineRule="auto"/>
        <w:ind w:firstLine="420" w:firstLineChars="200"/>
        <w:rPr>
          <w:highlight w:val="none"/>
        </w:rPr>
      </w:pPr>
      <w:r>
        <w:rPr>
          <w:highlight w:val="none"/>
        </w:rPr>
        <w:t>四、甲方若有员工提出上述违法违纪要求或有其它违纪违法问题，向甲方纪检监察部门举报。</w:t>
      </w:r>
    </w:p>
    <w:p w14:paraId="5621AE7C">
      <w:pPr>
        <w:spacing w:line="480" w:lineRule="auto"/>
        <w:ind w:firstLine="420" w:firstLineChars="200"/>
        <w:rPr>
          <w:highlight w:val="none"/>
        </w:rPr>
      </w:pPr>
      <w:r>
        <w:rPr>
          <w:highlight w:val="none"/>
        </w:rPr>
        <w:t>五、若发现其他</w:t>
      </w:r>
      <w:r>
        <w:rPr>
          <w:rFonts w:hint="eastAsia"/>
          <w:highlight w:val="none"/>
        </w:rPr>
        <w:t>投标人</w:t>
      </w:r>
      <w:r>
        <w:rPr>
          <w:highlight w:val="none"/>
        </w:rPr>
        <w:t>有商业贿赂或其他不正当竞争行为，向甲方纪检监察部门举报。</w:t>
      </w:r>
    </w:p>
    <w:p w14:paraId="351583B4">
      <w:pPr>
        <w:spacing w:line="480" w:lineRule="auto"/>
        <w:ind w:firstLine="420" w:firstLineChars="200"/>
        <w:rPr>
          <w:highlight w:val="none"/>
        </w:rPr>
      </w:pPr>
      <w:r>
        <w:rPr>
          <w:highlight w:val="none"/>
        </w:rPr>
        <w:t>六、不私下接触甲方评委，否则报价无效。</w:t>
      </w:r>
    </w:p>
    <w:p w14:paraId="30470EC1">
      <w:pPr>
        <w:spacing w:line="480" w:lineRule="auto"/>
        <w:ind w:left="-178" w:leftChars="-85" w:right="-153" w:rightChars="-73" w:firstLine="630" w:firstLineChars="300"/>
        <w:rPr>
          <w:highlight w:val="none"/>
        </w:rPr>
      </w:pPr>
      <w:r>
        <w:rPr>
          <w:highlight w:val="none"/>
        </w:rPr>
        <w:t>七、若违反本承诺中应遵守的条款，同意甲方取消承诺人本项目参与资格（如已获参与资格，则取消资格；已签订合同的，中止执行），并赔偿甲方损失。情节严重的，三年内甲方可禁止承诺人参加甲方磋商及其他采购活动。如有触犯刑律的，依法移交司法机关。</w:t>
      </w:r>
    </w:p>
    <w:p w14:paraId="48AF81FF">
      <w:pPr>
        <w:spacing w:line="480" w:lineRule="auto"/>
        <w:rPr>
          <w:highlight w:val="none"/>
        </w:rPr>
      </w:pPr>
    </w:p>
    <w:p w14:paraId="49ABAADD">
      <w:pPr>
        <w:spacing w:line="480" w:lineRule="auto"/>
        <w:rPr>
          <w:highlight w:val="none"/>
        </w:rPr>
      </w:pPr>
      <w:r>
        <w:rPr>
          <w:highlight w:val="none"/>
        </w:rPr>
        <w:t xml:space="preserve"> 　　　　　　　　　　　　                          </w:t>
      </w:r>
      <w:r>
        <w:rPr>
          <w:rFonts w:hint="eastAsia"/>
          <w:highlight w:val="none"/>
        </w:rPr>
        <w:t>投标</w:t>
      </w:r>
      <w:r>
        <w:rPr>
          <w:highlight w:val="none"/>
        </w:rPr>
        <w:t>人（</w:t>
      </w:r>
      <w:r>
        <w:rPr>
          <w:rFonts w:hint="eastAsia"/>
          <w:highlight w:val="none"/>
        </w:rPr>
        <w:t>公</w:t>
      </w:r>
      <w:r>
        <w:rPr>
          <w:highlight w:val="none"/>
        </w:rPr>
        <w:t>章）：</w:t>
      </w:r>
    </w:p>
    <w:p w14:paraId="769885FB">
      <w:pPr>
        <w:rPr>
          <w:highlight w:val="none"/>
        </w:rPr>
      </w:pPr>
      <w:r>
        <w:rPr>
          <w:highlight w:val="none"/>
        </w:rPr>
        <w:t>　　　　　　　　　　　　　　　　　　　　            年　　月　　日</w:t>
      </w:r>
    </w:p>
    <w:p w14:paraId="6ED4C06B">
      <w:pPr>
        <w:pStyle w:val="4"/>
        <w:rPr>
          <w:highlight w:val="none"/>
        </w:rPr>
      </w:pPr>
    </w:p>
    <w:p w14:paraId="2DFC1925">
      <w:pPr>
        <w:rPr>
          <w:highlight w:val="none"/>
        </w:rPr>
        <w:sectPr>
          <w:pgSz w:w="11905" w:h="16838"/>
          <w:pgMar w:top="1417" w:right="1361" w:bottom="1417" w:left="1361" w:header="850" w:footer="992" w:gutter="0"/>
          <w:cols w:space="0" w:num="1"/>
          <w:rtlGutter w:val="0"/>
          <w:docGrid w:type="lines" w:linePitch="312" w:charSpace="0"/>
        </w:sectPr>
      </w:pPr>
    </w:p>
    <w:p w14:paraId="47968EAC">
      <w:pPr>
        <w:spacing w:line="480" w:lineRule="auto"/>
        <w:outlineLvl w:val="1"/>
        <w:rPr>
          <w:rFonts w:ascii="宋体" w:hAnsi="宋体" w:cs="宋体"/>
          <w:b/>
          <w:sz w:val="28"/>
          <w:szCs w:val="28"/>
          <w:highlight w:val="none"/>
        </w:rPr>
      </w:pPr>
      <w:r>
        <w:rPr>
          <w:rFonts w:hint="eastAsia" w:ascii="宋体" w:hAnsi="宋体" w:cs="宋体"/>
          <w:b/>
          <w:kern w:val="0"/>
          <w:highlight w:val="none"/>
        </w:rPr>
        <w:t>附件6-10.</w:t>
      </w:r>
      <w:r>
        <w:rPr>
          <w:rFonts w:hint="eastAsia" w:ascii="宋体" w:hAnsi="宋体" w:cs="宋体"/>
          <w:b/>
          <w:highlight w:val="none"/>
        </w:rPr>
        <w:t>无重大违法记录声明</w:t>
      </w:r>
      <w:r>
        <w:rPr>
          <w:rFonts w:hint="eastAsia" w:ascii="宋体" w:hAnsi="宋体" w:cs="宋体"/>
          <w:b/>
          <w:kern w:val="0"/>
          <w:szCs w:val="22"/>
          <w:highlight w:val="none"/>
        </w:rPr>
        <w:t>（必须提供）</w:t>
      </w:r>
    </w:p>
    <w:p w14:paraId="4C20E59C">
      <w:pPr>
        <w:spacing w:line="480" w:lineRule="auto"/>
        <w:jc w:val="center"/>
        <w:rPr>
          <w:sz w:val="28"/>
          <w:szCs w:val="28"/>
          <w:highlight w:val="none"/>
        </w:rPr>
      </w:pPr>
    </w:p>
    <w:p w14:paraId="3361D9A3">
      <w:pPr>
        <w:pStyle w:val="28"/>
        <w:spacing w:line="400" w:lineRule="exact"/>
        <w:rPr>
          <w:rFonts w:ascii="Times New Roman" w:hAnsi="Times New Roman" w:cs="Times New Roman"/>
          <w:b/>
          <w:sz w:val="28"/>
          <w:szCs w:val="28"/>
          <w:highlight w:val="none"/>
        </w:rPr>
      </w:pPr>
      <w:r>
        <w:rPr>
          <w:rFonts w:hint="eastAsia" w:ascii="Times New Roman" w:hAnsi="Times New Roman" w:cs="Times New Roman"/>
          <w:b/>
          <w:sz w:val="28"/>
          <w:szCs w:val="28"/>
          <w:highlight w:val="none"/>
        </w:rPr>
        <w:t>投标人</w:t>
      </w:r>
      <w:r>
        <w:rPr>
          <w:rFonts w:ascii="Times New Roman" w:hAnsi="Times New Roman" w:cs="Times New Roman"/>
          <w:b/>
          <w:sz w:val="28"/>
          <w:szCs w:val="28"/>
          <w:highlight w:val="none"/>
        </w:rPr>
        <w:t>参加本项目采购活动前3年内在经营活动中没有重大违法记录的书面声明（必须提供）</w:t>
      </w:r>
    </w:p>
    <w:p w14:paraId="44D3F699">
      <w:pPr>
        <w:pStyle w:val="28"/>
        <w:spacing w:line="400" w:lineRule="exact"/>
        <w:ind w:left="420" w:leftChars="200" w:firstLine="157" w:firstLineChars="49"/>
        <w:rPr>
          <w:rFonts w:ascii="Times New Roman" w:hAnsi="Times New Roman" w:cs="Times New Roman"/>
          <w:b/>
          <w:sz w:val="32"/>
          <w:szCs w:val="32"/>
          <w:highlight w:val="none"/>
        </w:rPr>
      </w:pPr>
    </w:p>
    <w:p w14:paraId="48BB6E6A">
      <w:pPr>
        <w:pStyle w:val="28"/>
        <w:spacing w:line="400" w:lineRule="exact"/>
        <w:jc w:val="center"/>
        <w:rPr>
          <w:rFonts w:ascii="Times New Roman" w:hAnsi="Times New Roman" w:cs="Times New Roman"/>
          <w:b/>
          <w:sz w:val="32"/>
          <w:szCs w:val="32"/>
          <w:highlight w:val="none"/>
        </w:rPr>
      </w:pPr>
      <w:r>
        <w:rPr>
          <w:rFonts w:ascii="Times New Roman" w:hAnsi="Times New Roman" w:cs="Times New Roman"/>
          <w:b/>
          <w:sz w:val="32"/>
          <w:szCs w:val="32"/>
          <w:highlight w:val="none"/>
        </w:rPr>
        <w:t>声   明</w:t>
      </w:r>
    </w:p>
    <w:p w14:paraId="0AC97541">
      <w:pPr>
        <w:snapToGrid w:val="0"/>
        <w:spacing w:line="400" w:lineRule="exact"/>
        <w:outlineLvl w:val="4"/>
        <w:rPr>
          <w:highlight w:val="none"/>
        </w:rPr>
      </w:pPr>
      <w:r>
        <w:rPr>
          <w:b/>
          <w:highlight w:val="none"/>
        </w:rPr>
        <w:t>致</w:t>
      </w:r>
      <w:r>
        <w:rPr>
          <w:highlight w:val="none"/>
        </w:rPr>
        <w:t>：</w:t>
      </w:r>
      <w:r>
        <w:rPr>
          <w:b/>
          <w:highlight w:val="none"/>
        </w:rPr>
        <w:t>桂林银行股份有限公司</w:t>
      </w:r>
    </w:p>
    <w:p w14:paraId="7672C8F6">
      <w:pPr>
        <w:snapToGrid w:val="0"/>
        <w:spacing w:line="400" w:lineRule="exact"/>
        <w:outlineLvl w:val="4"/>
        <w:rPr>
          <w:highlight w:val="none"/>
          <w:u w:val="single"/>
        </w:rPr>
      </w:pPr>
    </w:p>
    <w:p w14:paraId="13629B12">
      <w:pPr>
        <w:pStyle w:val="28"/>
        <w:spacing w:line="400" w:lineRule="exact"/>
        <w:ind w:firstLine="420" w:firstLineChars="200"/>
        <w:rPr>
          <w:rFonts w:ascii="Times New Roman" w:hAnsi="Times New Roman" w:eastAsia="宋体" w:cs="Times New Roman"/>
          <w:highlight w:val="none"/>
        </w:rPr>
      </w:pPr>
      <w:r>
        <w:rPr>
          <w:rFonts w:hint="eastAsia" w:ascii="Times New Roman" w:hAnsi="Times New Roman" w:eastAsia="宋体" w:cs="Times New Roman"/>
          <w:highlight w:val="none"/>
        </w:rPr>
        <w:t>本公司（单位</w:t>
      </w:r>
      <w:r>
        <w:rPr>
          <w:rFonts w:ascii="Times New Roman" w:hAnsi="Times New Roman" w:eastAsia="宋体" w:cs="Times New Roman"/>
          <w:highlight w:val="none"/>
        </w:rPr>
        <w:t>）郑重声明，在参加本项目采购活动前3年内在经营活动中没有重大违法记录（重大违法记录是指</w:t>
      </w:r>
      <w:r>
        <w:rPr>
          <w:rFonts w:hint="eastAsia" w:ascii="Times New Roman" w:hAnsi="Times New Roman" w:eastAsia="宋体" w:cs="Times New Roman"/>
          <w:highlight w:val="none"/>
        </w:rPr>
        <w:t>投标人</w:t>
      </w:r>
      <w:r>
        <w:rPr>
          <w:rFonts w:ascii="Times New Roman" w:hAnsi="Times New Roman" w:eastAsia="宋体" w:cs="Times New Roman"/>
          <w:highlight w:val="none"/>
        </w:rPr>
        <w:t>因违法经营受到刑事处罚或者责令停产停业、吊销许可证或者执照、较大数额罚款等行政处罚）。</w:t>
      </w:r>
    </w:p>
    <w:p w14:paraId="6F9ECF66">
      <w:pPr>
        <w:snapToGrid w:val="0"/>
        <w:spacing w:line="400" w:lineRule="exact"/>
        <w:ind w:firstLine="420"/>
        <w:outlineLvl w:val="4"/>
        <w:rPr>
          <w:highlight w:val="none"/>
        </w:rPr>
      </w:pPr>
    </w:p>
    <w:p w14:paraId="45B1B43C">
      <w:pPr>
        <w:snapToGrid w:val="0"/>
        <w:spacing w:line="400" w:lineRule="exact"/>
        <w:ind w:firstLine="420"/>
        <w:outlineLvl w:val="4"/>
        <w:rPr>
          <w:highlight w:val="none"/>
        </w:rPr>
      </w:pPr>
    </w:p>
    <w:p w14:paraId="18055BFA">
      <w:pPr>
        <w:snapToGrid w:val="0"/>
        <w:spacing w:line="400" w:lineRule="exact"/>
        <w:ind w:firstLine="4935" w:firstLineChars="2350"/>
        <w:outlineLvl w:val="4"/>
        <w:rPr>
          <w:highlight w:val="none"/>
          <w:u w:val="single"/>
        </w:rPr>
      </w:pPr>
      <w:r>
        <w:rPr>
          <w:rFonts w:hint="eastAsia"/>
          <w:highlight w:val="none"/>
        </w:rPr>
        <w:t>投标人</w:t>
      </w:r>
      <w:r>
        <w:rPr>
          <w:highlight w:val="none"/>
        </w:rPr>
        <w:t>（公章）：</w:t>
      </w:r>
    </w:p>
    <w:p w14:paraId="771BC963">
      <w:pPr>
        <w:snapToGrid w:val="0"/>
        <w:spacing w:line="400" w:lineRule="exact"/>
        <w:ind w:firstLine="420"/>
        <w:outlineLvl w:val="4"/>
        <w:rPr>
          <w:highlight w:val="none"/>
        </w:rPr>
      </w:pPr>
    </w:p>
    <w:p w14:paraId="34AC003E">
      <w:pPr>
        <w:spacing w:line="340" w:lineRule="exact"/>
        <w:ind w:left="4935" w:leftChars="2350"/>
        <w:rPr>
          <w:highlight w:val="none"/>
          <w:u w:val="single"/>
        </w:rPr>
      </w:pPr>
      <w:r>
        <w:rPr>
          <w:highlight w:val="none"/>
        </w:rPr>
        <w:t>法定代表人</w:t>
      </w:r>
      <w:r>
        <w:rPr>
          <w:rFonts w:hint="eastAsia"/>
          <w:highlight w:val="none"/>
        </w:rPr>
        <w:t>（</w:t>
      </w:r>
      <w:r>
        <w:rPr>
          <w:highlight w:val="none"/>
        </w:rPr>
        <w:t>签字或盖章</w:t>
      </w:r>
      <w:r>
        <w:rPr>
          <w:rFonts w:hint="eastAsia"/>
          <w:highlight w:val="none"/>
        </w:rPr>
        <w:t>）</w:t>
      </w:r>
      <w:r>
        <w:rPr>
          <w:highlight w:val="none"/>
        </w:rPr>
        <w:t>：</w:t>
      </w:r>
    </w:p>
    <w:p w14:paraId="04A5E788">
      <w:pPr>
        <w:spacing w:line="340" w:lineRule="exact"/>
        <w:ind w:firstLine="420" w:firstLineChars="200"/>
        <w:rPr>
          <w:highlight w:val="none"/>
        </w:rPr>
      </w:pPr>
    </w:p>
    <w:p w14:paraId="2F6BD7AB">
      <w:pPr>
        <w:pStyle w:val="28"/>
        <w:ind w:firstLine="5040" w:firstLineChars="2400"/>
        <w:rPr>
          <w:rFonts w:ascii="Times New Roman" w:hAnsi="Times New Roman" w:cs="Times New Roman"/>
          <w:b/>
          <w:sz w:val="32"/>
          <w:highlight w:val="none"/>
        </w:rPr>
      </w:pPr>
      <w:r>
        <w:rPr>
          <w:rFonts w:ascii="Times New Roman" w:hAnsi="Times New Roman" w:eastAsia="宋体" w:cs="Times New Roman"/>
          <w:highlight w:val="none"/>
        </w:rPr>
        <w:t>日期：</w:t>
      </w:r>
    </w:p>
    <w:p w14:paraId="527A740E">
      <w:pPr>
        <w:widowControl/>
        <w:adjustRightInd w:val="0"/>
        <w:snapToGrid w:val="0"/>
        <w:spacing w:line="360" w:lineRule="auto"/>
        <w:rPr>
          <w:highlight w:val="none"/>
        </w:rPr>
      </w:pPr>
    </w:p>
    <w:p w14:paraId="2637B6C5">
      <w:pPr>
        <w:pStyle w:val="4"/>
        <w:rPr>
          <w:highlight w:val="none"/>
        </w:rPr>
      </w:pPr>
    </w:p>
    <w:p w14:paraId="267930AE">
      <w:pPr>
        <w:rPr>
          <w:highlight w:val="none"/>
        </w:rPr>
        <w:sectPr>
          <w:pgSz w:w="11905" w:h="16838"/>
          <w:pgMar w:top="1417" w:right="1361" w:bottom="1417" w:left="1361" w:header="850" w:footer="992" w:gutter="0"/>
          <w:cols w:space="0" w:num="1"/>
          <w:rtlGutter w:val="0"/>
          <w:docGrid w:type="lines" w:linePitch="312" w:charSpace="0"/>
        </w:sectPr>
      </w:pPr>
    </w:p>
    <w:p w14:paraId="7F0F7847">
      <w:pPr>
        <w:rPr>
          <w:rFonts w:ascii="宋体" w:hAnsi="宋体" w:cs="宋体"/>
          <w:b/>
          <w:bCs/>
          <w:highlight w:val="none"/>
        </w:rPr>
      </w:pPr>
      <w:r>
        <w:rPr>
          <w:rFonts w:hint="eastAsia" w:ascii="宋体" w:hAnsi="宋体" w:cs="宋体"/>
          <w:b/>
          <w:bCs/>
          <w:highlight w:val="none"/>
        </w:rPr>
        <w:t>附件7、技术部分</w:t>
      </w:r>
    </w:p>
    <w:p w14:paraId="47BD694D">
      <w:pPr>
        <w:rPr>
          <w:rFonts w:ascii="宋体" w:hAnsi="宋体" w:cs="宋体"/>
          <w:b/>
          <w:bCs/>
          <w:highlight w:val="none"/>
        </w:rPr>
      </w:pPr>
    </w:p>
    <w:p w14:paraId="03CBABA8">
      <w:pPr>
        <w:rPr>
          <w:rFonts w:ascii="宋体" w:hAnsi="宋体" w:cs="宋体"/>
          <w:b/>
          <w:bCs/>
          <w:kern w:val="0"/>
          <w:highlight w:val="none"/>
        </w:rPr>
      </w:pPr>
      <w:r>
        <w:rPr>
          <w:rFonts w:hint="eastAsia" w:ascii="宋体" w:hAnsi="宋体" w:cs="宋体"/>
          <w:b/>
          <w:bCs/>
          <w:highlight w:val="none"/>
        </w:rPr>
        <w:t>7-1.</w:t>
      </w:r>
      <w:r>
        <w:rPr>
          <w:rFonts w:hint="eastAsia" w:ascii="宋体" w:hAnsi="宋体" w:cs="宋体"/>
          <w:b/>
          <w:bCs/>
          <w:kern w:val="0"/>
          <w:highlight w:val="none"/>
        </w:rPr>
        <w:t>偏离表（必须提供）</w:t>
      </w:r>
    </w:p>
    <w:p w14:paraId="620501C1">
      <w:pPr>
        <w:rPr>
          <w:rFonts w:ascii="宋体" w:hAnsi="宋体" w:cs="宋体"/>
          <w:highlight w:val="none"/>
        </w:rPr>
      </w:pPr>
      <w:r>
        <w:rPr>
          <w:rFonts w:hint="eastAsia" w:ascii="宋体" w:hAnsi="宋体" w:cs="宋体"/>
          <w:highlight w:val="none"/>
        </w:rPr>
        <w:t>对本项目第三章《项目需求》要求的响应表：</w:t>
      </w:r>
    </w:p>
    <w:tbl>
      <w:tblPr>
        <w:tblStyle w:val="42"/>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395"/>
        <w:gridCol w:w="3735"/>
        <w:gridCol w:w="1170"/>
      </w:tblGrid>
      <w:tr w14:paraId="305F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96" w:type="dxa"/>
            <w:vAlign w:val="center"/>
          </w:tcPr>
          <w:p w14:paraId="007EE4D2">
            <w:pPr>
              <w:spacing w:line="400" w:lineRule="exact"/>
              <w:jc w:val="center"/>
              <w:rPr>
                <w:rFonts w:ascii="宋体" w:hAnsi="宋体" w:cs="宋体"/>
                <w:highlight w:val="none"/>
              </w:rPr>
            </w:pPr>
            <w:r>
              <w:rPr>
                <w:rFonts w:hint="eastAsia" w:ascii="宋体" w:hAnsi="宋体" w:cs="宋体"/>
                <w:highlight w:val="none"/>
              </w:rPr>
              <w:t>序号</w:t>
            </w:r>
          </w:p>
        </w:tc>
        <w:tc>
          <w:tcPr>
            <w:tcW w:w="3395" w:type="dxa"/>
            <w:vAlign w:val="center"/>
          </w:tcPr>
          <w:p w14:paraId="7B03CFA8">
            <w:pPr>
              <w:spacing w:line="400" w:lineRule="exact"/>
              <w:jc w:val="center"/>
              <w:rPr>
                <w:rFonts w:ascii="宋体" w:hAnsi="宋体" w:cs="宋体"/>
                <w:highlight w:val="none"/>
              </w:rPr>
            </w:pPr>
            <w:r>
              <w:rPr>
                <w:rFonts w:hint="eastAsia" w:ascii="宋体" w:hAnsi="宋体" w:cs="宋体"/>
                <w:highlight w:val="none"/>
              </w:rPr>
              <w:t>磋商文件需求</w:t>
            </w:r>
          </w:p>
        </w:tc>
        <w:tc>
          <w:tcPr>
            <w:tcW w:w="3735" w:type="dxa"/>
            <w:vAlign w:val="center"/>
          </w:tcPr>
          <w:p w14:paraId="603D7DC2">
            <w:pPr>
              <w:snapToGrid w:val="0"/>
              <w:jc w:val="center"/>
              <w:rPr>
                <w:rFonts w:ascii="宋体" w:hAnsi="宋体" w:cs="宋体"/>
                <w:highlight w:val="none"/>
              </w:rPr>
            </w:pPr>
            <w:r>
              <w:rPr>
                <w:rFonts w:hint="eastAsia" w:ascii="宋体" w:hAnsi="宋体" w:cs="宋体"/>
                <w:highlight w:val="none"/>
              </w:rPr>
              <w:t>响应文件响应内容</w:t>
            </w:r>
          </w:p>
          <w:p w14:paraId="0C88CE11">
            <w:pPr>
              <w:spacing w:line="400" w:lineRule="exact"/>
              <w:jc w:val="center"/>
              <w:rPr>
                <w:rFonts w:ascii="宋体" w:hAnsi="宋体" w:cs="宋体"/>
                <w:highlight w:val="none"/>
              </w:rPr>
            </w:pPr>
            <w:r>
              <w:rPr>
                <w:rFonts w:hint="eastAsia" w:ascii="宋体" w:hAnsi="宋体" w:cs="宋体"/>
                <w:highlight w:val="none"/>
              </w:rPr>
              <w:t>（可注明证明材料所在页码）</w:t>
            </w:r>
          </w:p>
        </w:tc>
        <w:tc>
          <w:tcPr>
            <w:tcW w:w="1170" w:type="dxa"/>
            <w:vAlign w:val="center"/>
          </w:tcPr>
          <w:p w14:paraId="3ECBC52C">
            <w:pPr>
              <w:spacing w:line="400" w:lineRule="exact"/>
              <w:jc w:val="center"/>
              <w:rPr>
                <w:rFonts w:ascii="宋体" w:hAnsi="宋体" w:cs="宋体"/>
                <w:highlight w:val="none"/>
              </w:rPr>
            </w:pPr>
            <w:r>
              <w:rPr>
                <w:rFonts w:hint="eastAsia" w:ascii="宋体" w:hAnsi="宋体" w:cs="宋体"/>
                <w:highlight w:val="none"/>
              </w:rPr>
              <w:t>偏离说明</w:t>
            </w:r>
          </w:p>
        </w:tc>
      </w:tr>
      <w:tr w14:paraId="69F3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7FDF5291">
            <w:pPr>
              <w:spacing w:line="600" w:lineRule="exact"/>
              <w:jc w:val="center"/>
              <w:rPr>
                <w:rFonts w:ascii="宋体" w:hAnsi="宋体" w:cs="宋体"/>
                <w:highlight w:val="none"/>
              </w:rPr>
            </w:pPr>
          </w:p>
        </w:tc>
        <w:tc>
          <w:tcPr>
            <w:tcW w:w="3395" w:type="dxa"/>
            <w:vAlign w:val="center"/>
          </w:tcPr>
          <w:p w14:paraId="0AD4876C">
            <w:pPr>
              <w:spacing w:line="600" w:lineRule="exact"/>
              <w:jc w:val="center"/>
              <w:rPr>
                <w:rFonts w:ascii="宋体" w:hAnsi="宋体" w:cs="宋体"/>
                <w:highlight w:val="none"/>
              </w:rPr>
            </w:pPr>
          </w:p>
        </w:tc>
        <w:tc>
          <w:tcPr>
            <w:tcW w:w="3735" w:type="dxa"/>
            <w:vAlign w:val="center"/>
          </w:tcPr>
          <w:p w14:paraId="65A6FEE1">
            <w:pPr>
              <w:spacing w:line="600" w:lineRule="exact"/>
              <w:jc w:val="center"/>
              <w:rPr>
                <w:rFonts w:ascii="宋体" w:hAnsi="宋体" w:cs="宋体"/>
                <w:highlight w:val="none"/>
              </w:rPr>
            </w:pPr>
          </w:p>
        </w:tc>
        <w:tc>
          <w:tcPr>
            <w:tcW w:w="1170" w:type="dxa"/>
            <w:vAlign w:val="center"/>
          </w:tcPr>
          <w:p w14:paraId="0A93AC4F">
            <w:pPr>
              <w:spacing w:line="600" w:lineRule="exact"/>
              <w:jc w:val="center"/>
              <w:rPr>
                <w:rFonts w:ascii="宋体" w:hAnsi="宋体" w:cs="宋体"/>
                <w:highlight w:val="none"/>
              </w:rPr>
            </w:pPr>
          </w:p>
        </w:tc>
      </w:tr>
      <w:tr w14:paraId="1C85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29C794F2">
            <w:pPr>
              <w:spacing w:line="600" w:lineRule="exact"/>
              <w:rPr>
                <w:rFonts w:ascii="宋体" w:hAnsi="宋体" w:cs="宋体"/>
                <w:highlight w:val="none"/>
              </w:rPr>
            </w:pPr>
          </w:p>
        </w:tc>
        <w:tc>
          <w:tcPr>
            <w:tcW w:w="3395" w:type="dxa"/>
            <w:vAlign w:val="center"/>
          </w:tcPr>
          <w:p w14:paraId="5C56E59F">
            <w:pPr>
              <w:spacing w:line="600" w:lineRule="exact"/>
              <w:rPr>
                <w:rFonts w:ascii="宋体" w:hAnsi="宋体" w:cs="宋体"/>
                <w:highlight w:val="none"/>
              </w:rPr>
            </w:pPr>
          </w:p>
        </w:tc>
        <w:tc>
          <w:tcPr>
            <w:tcW w:w="3735" w:type="dxa"/>
            <w:vAlign w:val="center"/>
          </w:tcPr>
          <w:p w14:paraId="71C5E0A8">
            <w:pPr>
              <w:spacing w:line="600" w:lineRule="exact"/>
              <w:rPr>
                <w:rFonts w:ascii="宋体" w:hAnsi="宋体" w:cs="宋体"/>
                <w:highlight w:val="none"/>
              </w:rPr>
            </w:pPr>
          </w:p>
        </w:tc>
        <w:tc>
          <w:tcPr>
            <w:tcW w:w="1170" w:type="dxa"/>
            <w:vAlign w:val="center"/>
          </w:tcPr>
          <w:p w14:paraId="54755FF5">
            <w:pPr>
              <w:spacing w:line="600" w:lineRule="exact"/>
              <w:rPr>
                <w:rFonts w:ascii="宋体" w:hAnsi="宋体" w:cs="宋体"/>
                <w:highlight w:val="none"/>
              </w:rPr>
            </w:pPr>
          </w:p>
        </w:tc>
      </w:tr>
      <w:tr w14:paraId="0170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280272E7">
            <w:pPr>
              <w:spacing w:line="600" w:lineRule="exact"/>
              <w:rPr>
                <w:rFonts w:ascii="宋体" w:hAnsi="宋体" w:cs="宋体"/>
                <w:highlight w:val="none"/>
              </w:rPr>
            </w:pPr>
          </w:p>
        </w:tc>
        <w:tc>
          <w:tcPr>
            <w:tcW w:w="3395" w:type="dxa"/>
            <w:vAlign w:val="center"/>
          </w:tcPr>
          <w:p w14:paraId="612B9F7E">
            <w:pPr>
              <w:spacing w:line="600" w:lineRule="exact"/>
              <w:rPr>
                <w:rFonts w:ascii="宋体" w:hAnsi="宋体" w:cs="宋体"/>
                <w:highlight w:val="none"/>
              </w:rPr>
            </w:pPr>
          </w:p>
        </w:tc>
        <w:tc>
          <w:tcPr>
            <w:tcW w:w="3735" w:type="dxa"/>
            <w:vAlign w:val="center"/>
          </w:tcPr>
          <w:p w14:paraId="49905F2D">
            <w:pPr>
              <w:spacing w:line="600" w:lineRule="exact"/>
              <w:rPr>
                <w:rFonts w:ascii="宋体" w:hAnsi="宋体" w:cs="宋体"/>
                <w:highlight w:val="none"/>
              </w:rPr>
            </w:pPr>
          </w:p>
        </w:tc>
        <w:tc>
          <w:tcPr>
            <w:tcW w:w="1170" w:type="dxa"/>
            <w:vAlign w:val="center"/>
          </w:tcPr>
          <w:p w14:paraId="25EAF871">
            <w:pPr>
              <w:spacing w:line="600" w:lineRule="exact"/>
              <w:rPr>
                <w:rFonts w:ascii="宋体" w:hAnsi="宋体" w:cs="宋体"/>
                <w:highlight w:val="none"/>
              </w:rPr>
            </w:pPr>
          </w:p>
        </w:tc>
      </w:tr>
    </w:tbl>
    <w:p w14:paraId="0A64FC1E">
      <w:pPr>
        <w:ind w:firstLine="420"/>
        <w:rPr>
          <w:rFonts w:ascii="宋体" w:hAnsi="宋体" w:cs="宋体"/>
          <w:highlight w:val="none"/>
        </w:rPr>
      </w:pPr>
      <w:r>
        <w:rPr>
          <w:rFonts w:hint="eastAsia" w:ascii="宋体" w:hAnsi="宋体" w:cs="宋体"/>
          <w:highlight w:val="none"/>
        </w:rPr>
        <w:t>注：投标人应根据项目项目需求对照磋商文件要求逐条在“偏差说明”栏注明“正偏离”、“负偏离”或“无偏离” 。</w:t>
      </w:r>
    </w:p>
    <w:p w14:paraId="29EFE8F5">
      <w:pPr>
        <w:rPr>
          <w:rFonts w:ascii="宋体" w:hAnsi="宋体" w:cs="宋体"/>
          <w:highlight w:val="none"/>
          <w:u w:val="single"/>
        </w:rPr>
      </w:pPr>
    </w:p>
    <w:p w14:paraId="1E0D4B64">
      <w:pPr>
        <w:rPr>
          <w:rFonts w:ascii="宋体" w:hAnsi="宋体" w:cs="宋体"/>
          <w:bCs/>
          <w:szCs w:val="22"/>
          <w:highlight w:val="none"/>
        </w:rPr>
      </w:pPr>
      <w:r>
        <w:rPr>
          <w:rFonts w:hint="eastAsia" w:ascii="宋体" w:hAnsi="宋体" w:cs="宋体"/>
          <w:highlight w:val="none"/>
        </w:rPr>
        <w:t>投标人（公章）：</w:t>
      </w:r>
    </w:p>
    <w:p w14:paraId="3F31AA7F">
      <w:pPr>
        <w:rPr>
          <w:rFonts w:ascii="宋体" w:hAnsi="宋体" w:cs="宋体"/>
          <w:highlight w:val="none"/>
        </w:rPr>
      </w:pPr>
      <w:r>
        <w:rPr>
          <w:rFonts w:hint="eastAsia" w:ascii="宋体" w:hAnsi="宋体" w:cs="宋体"/>
          <w:highlight w:val="none"/>
        </w:rPr>
        <w:t>法定代表人或委托代理人（签字或签章）：</w:t>
      </w:r>
    </w:p>
    <w:p w14:paraId="25452EE2">
      <w:pPr>
        <w:rPr>
          <w:rFonts w:ascii="宋体" w:hAnsi="宋体" w:cs="宋体"/>
          <w:bCs/>
          <w:szCs w:val="22"/>
          <w:highlight w:val="none"/>
        </w:rPr>
      </w:pPr>
      <w:r>
        <w:rPr>
          <w:rFonts w:hint="eastAsia" w:ascii="宋体" w:hAnsi="宋体" w:cs="宋体"/>
          <w:bCs/>
          <w:szCs w:val="22"/>
          <w:highlight w:val="none"/>
        </w:rPr>
        <w:t>日期：</w:t>
      </w:r>
    </w:p>
    <w:p w14:paraId="2698A520">
      <w:pPr>
        <w:pStyle w:val="20"/>
        <w:spacing w:line="400" w:lineRule="exact"/>
        <w:rPr>
          <w:rFonts w:ascii="宋体" w:hAnsi="宋体" w:cs="宋体"/>
          <w:highlight w:val="none"/>
        </w:rPr>
      </w:pPr>
    </w:p>
    <w:p w14:paraId="6E8DF53F">
      <w:pPr>
        <w:pStyle w:val="20"/>
        <w:spacing w:line="400" w:lineRule="exact"/>
        <w:ind w:firstLine="0"/>
        <w:rPr>
          <w:rFonts w:ascii="宋体" w:hAnsi="宋体" w:cs="宋体"/>
          <w:highlight w:val="none"/>
        </w:rPr>
      </w:pPr>
    </w:p>
    <w:p w14:paraId="75FF7C32">
      <w:pPr>
        <w:spacing w:line="400" w:lineRule="exact"/>
        <w:rPr>
          <w:rFonts w:hint="eastAsia" w:hAnsi="宋体"/>
          <w:highlight w:val="none"/>
        </w:rPr>
      </w:pPr>
      <w:bookmarkStart w:id="258" w:name="_Toc135752563"/>
      <w:bookmarkStart w:id="259" w:name="_Toc181778303"/>
      <w:bookmarkStart w:id="260" w:name="_Toc186382416"/>
      <w:bookmarkStart w:id="261" w:name="_Toc181958779"/>
      <w:bookmarkStart w:id="262" w:name="_Toc33438637"/>
      <w:bookmarkStart w:id="263" w:name="_Toc187120983"/>
      <w:bookmarkStart w:id="264" w:name="_Toc186915361"/>
      <w:bookmarkStart w:id="265" w:name="_Toc186101193"/>
      <w:bookmarkStart w:id="266" w:name="_Toc182273927"/>
      <w:bookmarkStart w:id="267" w:name="_Toc476524899"/>
      <w:bookmarkStart w:id="268" w:name="_Toc380762236"/>
      <w:bookmarkStart w:id="269" w:name="_Toc187243764"/>
      <w:bookmarkStart w:id="270" w:name="_Toc186917125"/>
      <w:bookmarkStart w:id="271" w:name="_Toc380054678"/>
      <w:bookmarkStart w:id="272" w:name="_Toc47282060"/>
      <w:bookmarkStart w:id="273" w:name="_Toc183712412"/>
      <w:bookmarkStart w:id="274" w:name="_Toc186917287"/>
      <w:bookmarkStart w:id="275" w:name="_Toc187060993"/>
      <w:bookmarkStart w:id="276" w:name="_Toc182274059"/>
      <w:r>
        <w:rPr>
          <w:rFonts w:hint="eastAsia" w:ascii="宋体" w:hAnsi="宋体" w:cs="宋体"/>
          <w:b/>
          <w:bCs/>
          <w:kern w:val="0"/>
          <w:highlight w:val="none"/>
        </w:rPr>
        <w:t>7-2</w:t>
      </w:r>
      <w:r>
        <w:rPr>
          <w:rFonts w:hint="eastAsia" w:hAnsi="宋体"/>
          <w:b/>
          <w:bCs/>
          <w:highlight w:val="none"/>
        </w:rPr>
        <w:t>.</w:t>
      </w:r>
      <w:r>
        <w:rPr>
          <w:rFonts w:hint="eastAsia" w:hAnsi="宋体"/>
          <w:highlight w:val="none"/>
          <w:lang w:val="en-US" w:eastAsia="zh-CN"/>
        </w:rPr>
        <w:t>技术方案及实施方案</w:t>
      </w:r>
      <w:r>
        <w:rPr>
          <w:rFonts w:hint="eastAsia" w:ascii="宋体" w:hAnsi="宋体" w:cs="宋体"/>
          <w:highlight w:val="none"/>
        </w:rPr>
        <w:t>（根</w:t>
      </w:r>
      <w:r>
        <w:rPr>
          <w:rFonts w:hint="eastAsia" w:hAnsi="宋体"/>
          <w:highlight w:val="none"/>
        </w:rPr>
        <w:t>据项目需求投标人自行填写）</w:t>
      </w:r>
    </w:p>
    <w:p w14:paraId="2AABD951">
      <w:pPr>
        <w:spacing w:line="400" w:lineRule="exact"/>
        <w:rPr>
          <w:rFonts w:hint="eastAsia" w:hAnsi="宋体"/>
          <w:highlight w:val="none"/>
        </w:rPr>
      </w:pPr>
    </w:p>
    <w:p w14:paraId="25B73FBC">
      <w:pPr>
        <w:spacing w:line="400" w:lineRule="exact"/>
        <w:rPr>
          <w:rFonts w:hAnsi="宋体"/>
          <w:highlight w:val="none"/>
        </w:rPr>
      </w:pPr>
      <w:r>
        <w:rPr>
          <w:rFonts w:hint="eastAsia" w:ascii="宋体" w:hAnsi="宋体" w:cs="宋体"/>
          <w:b/>
          <w:bCs/>
          <w:kern w:val="0"/>
          <w:highlight w:val="none"/>
        </w:rPr>
        <w:t>7-3.</w:t>
      </w:r>
      <w:r>
        <w:rPr>
          <w:rFonts w:hint="eastAsia" w:hAnsi="宋体"/>
          <w:highlight w:val="none"/>
          <w:lang w:val="en-US" w:eastAsia="zh-CN"/>
        </w:rPr>
        <w:t>服务</w:t>
      </w:r>
      <w:r>
        <w:rPr>
          <w:rFonts w:hint="eastAsia" w:hAnsi="宋体"/>
          <w:highlight w:val="none"/>
        </w:rPr>
        <w:t>方案</w:t>
      </w:r>
      <w:r>
        <w:rPr>
          <w:rFonts w:hint="eastAsia" w:hAnsi="宋体"/>
          <w:highlight w:val="none"/>
        </w:rPr>
        <w:t>（含服务承诺）</w:t>
      </w:r>
      <w:r>
        <w:rPr>
          <w:rFonts w:hint="eastAsia" w:ascii="宋体" w:hAnsi="宋体" w:cs="宋体"/>
          <w:highlight w:val="none"/>
        </w:rPr>
        <w:t>（根</w:t>
      </w:r>
      <w:r>
        <w:rPr>
          <w:rFonts w:hint="eastAsia" w:hAnsi="宋体"/>
          <w:highlight w:val="none"/>
        </w:rPr>
        <w:t>据项目需求投标人自行填写）</w:t>
      </w:r>
    </w:p>
    <w:p w14:paraId="42EEFA6D">
      <w:pPr>
        <w:spacing w:line="400" w:lineRule="exact"/>
        <w:rPr>
          <w:rFonts w:hAnsi="宋体"/>
          <w:highlight w:val="none"/>
        </w:rPr>
      </w:pPr>
    </w:p>
    <w:p w14:paraId="1035B120">
      <w:pPr>
        <w:spacing w:line="400" w:lineRule="exact"/>
        <w:rPr>
          <w:rFonts w:ascii="宋体" w:hAnsi="宋体" w:cs="宋体"/>
          <w:highlight w:val="none"/>
        </w:rPr>
      </w:pPr>
      <w:r>
        <w:rPr>
          <w:rFonts w:hint="eastAsia" w:ascii="宋体" w:hAnsi="宋体" w:cs="宋体"/>
          <w:b/>
          <w:bCs/>
          <w:kern w:val="0"/>
          <w:highlight w:val="none"/>
        </w:rPr>
        <w:t>7-</w:t>
      </w:r>
      <w:r>
        <w:rPr>
          <w:rFonts w:hint="eastAsia" w:ascii="宋体" w:hAnsi="宋体" w:cs="宋体"/>
          <w:b/>
          <w:bCs/>
          <w:kern w:val="0"/>
          <w:highlight w:val="none"/>
          <w:lang w:val="en-US" w:eastAsia="zh-CN"/>
        </w:rPr>
        <w:t>4</w:t>
      </w:r>
      <w:r>
        <w:rPr>
          <w:rFonts w:hint="eastAsia" w:ascii="宋体" w:hAnsi="宋体" w:cs="宋体"/>
          <w:b/>
          <w:bCs/>
          <w:kern w:val="0"/>
          <w:highlight w:val="none"/>
        </w:rPr>
        <w:t>.</w:t>
      </w:r>
      <w:r>
        <w:rPr>
          <w:rFonts w:hint="eastAsia" w:ascii="宋体" w:hAnsi="宋体" w:cs="宋体"/>
          <w:kern w:val="0"/>
          <w:highlight w:val="none"/>
        </w:rPr>
        <w:t>投标人可提供的增值服务</w:t>
      </w:r>
      <w:r>
        <w:rPr>
          <w:rFonts w:hint="eastAsia" w:ascii="宋体" w:hAnsi="宋体" w:cs="宋体"/>
          <w:highlight w:val="none"/>
        </w:rPr>
        <w:t>（根据项目需求投标人自行填写）</w:t>
      </w:r>
    </w:p>
    <w:p w14:paraId="406DE626">
      <w:pPr>
        <w:spacing w:line="400" w:lineRule="exact"/>
        <w:rPr>
          <w:rFonts w:ascii="宋体" w:hAnsi="宋体" w:cs="宋体"/>
          <w:b/>
          <w:bCs/>
          <w:highlight w:val="none"/>
        </w:rPr>
      </w:pPr>
    </w:p>
    <w:p w14:paraId="40F2066E">
      <w:pPr>
        <w:spacing w:line="400" w:lineRule="exact"/>
        <w:rPr>
          <w:rFonts w:ascii="宋体" w:hAnsi="宋体" w:cs="宋体"/>
          <w:highlight w:val="none"/>
        </w:rPr>
      </w:pPr>
      <w:r>
        <w:rPr>
          <w:rFonts w:hint="eastAsia" w:ascii="宋体" w:hAnsi="宋体" w:cs="宋体"/>
          <w:b/>
          <w:bCs/>
          <w:highlight w:val="none"/>
        </w:rPr>
        <w:t>7-</w:t>
      </w:r>
      <w:r>
        <w:rPr>
          <w:rFonts w:hint="eastAsia" w:ascii="宋体" w:hAnsi="宋体" w:cs="宋体"/>
          <w:b/>
          <w:bCs/>
          <w:highlight w:val="none"/>
          <w:lang w:val="en-US" w:eastAsia="zh-CN"/>
        </w:rPr>
        <w:t>5</w:t>
      </w:r>
      <w:r>
        <w:rPr>
          <w:rFonts w:hint="eastAsia" w:ascii="宋体" w:hAnsi="宋体" w:cs="宋体"/>
          <w:b/>
          <w:bCs/>
          <w:highlight w:val="none"/>
        </w:rPr>
        <w:t>.</w:t>
      </w:r>
      <w:r>
        <w:rPr>
          <w:rFonts w:hint="eastAsia" w:ascii="宋体" w:hAnsi="宋体" w:cs="宋体"/>
          <w:highlight w:val="none"/>
        </w:rPr>
        <w:t>投标人认为需提供的其他材料（根据项目需求编写）</w:t>
      </w:r>
    </w:p>
    <w:p w14:paraId="1DCFA348">
      <w:pPr>
        <w:pStyle w:val="4"/>
        <w:spacing w:after="0" w:line="400" w:lineRule="exact"/>
        <w:rPr>
          <w:rFonts w:ascii="宋体" w:hAnsi="宋体" w:cs="宋体"/>
          <w:highlight w:val="none"/>
        </w:rPr>
      </w:pPr>
    </w:p>
    <w:p w14:paraId="65F6C863">
      <w:pPr>
        <w:pStyle w:val="4"/>
        <w:spacing w:after="0" w:line="400" w:lineRule="exact"/>
        <w:rPr>
          <w:rFonts w:ascii="宋体" w:hAnsi="宋体" w:cs="宋体"/>
          <w:kern w:val="0"/>
          <w:highlight w:val="none"/>
        </w:rPr>
      </w:pPr>
    </w:p>
    <w:p w14:paraId="671605D5">
      <w:pPr>
        <w:pStyle w:val="4"/>
        <w:spacing w:after="0" w:line="400" w:lineRule="exact"/>
        <w:rPr>
          <w:rFonts w:ascii="宋体" w:hAnsi="宋体" w:cs="宋体"/>
          <w:highlight w:val="none"/>
        </w:rPr>
      </w:pPr>
    </w:p>
    <w:p w14:paraId="304141D6">
      <w:pPr>
        <w:pStyle w:val="9"/>
        <w:spacing w:before="0" w:after="0" w:line="400" w:lineRule="exact"/>
        <w:rPr>
          <w:rFonts w:ascii="宋体" w:hAnsi="宋体" w:eastAsia="宋体" w:cs="宋体"/>
          <w:kern w:val="0"/>
          <w:sz w:val="21"/>
          <w:szCs w:val="21"/>
          <w:highlight w:val="none"/>
        </w:rPr>
      </w:pPr>
    </w:p>
    <w:p w14:paraId="21AB2CE8">
      <w:pPr>
        <w:pStyle w:val="9"/>
        <w:spacing w:before="0" w:after="0" w:line="400" w:lineRule="exact"/>
        <w:rPr>
          <w:rFonts w:ascii="宋体" w:hAnsi="宋体" w:eastAsia="宋体" w:cs="宋体"/>
          <w:kern w:val="0"/>
          <w:sz w:val="21"/>
          <w:szCs w:val="21"/>
          <w:highlight w:val="none"/>
        </w:rPr>
        <w:sectPr>
          <w:pgSz w:w="11905" w:h="16838"/>
          <w:pgMar w:top="1417" w:right="1361" w:bottom="1417" w:left="1361" w:header="850" w:footer="992" w:gutter="0"/>
          <w:cols w:space="0" w:num="1"/>
          <w:rtlGutter w:val="0"/>
          <w:docGrid w:type="lines" w:linePitch="312" w:charSpace="0"/>
        </w:sectPr>
      </w:pPr>
    </w:p>
    <w:p w14:paraId="29159E99">
      <w:pPr>
        <w:pStyle w:val="9"/>
        <w:spacing w:before="0" w:after="0" w:line="400" w:lineRule="exact"/>
        <w:rPr>
          <w:rFonts w:ascii="Times New Roman" w:hAnsi="Times New Roman" w:eastAsia="宋体" w:cs="Times New Roman"/>
          <w:bCs w:val="0"/>
          <w:kern w:val="0"/>
          <w:sz w:val="21"/>
          <w:szCs w:val="21"/>
          <w:highlight w:val="none"/>
        </w:rPr>
      </w:pPr>
      <w:r>
        <w:rPr>
          <w:rFonts w:ascii="Times New Roman" w:hAnsi="Times New Roman" w:eastAsia="宋体" w:cs="Times New Roman"/>
          <w:kern w:val="0"/>
          <w:sz w:val="21"/>
          <w:szCs w:val="21"/>
          <w:highlight w:val="none"/>
        </w:rPr>
        <w:t>7-</w:t>
      </w:r>
      <w:r>
        <w:rPr>
          <w:rFonts w:hint="eastAsia" w:ascii="Times New Roman" w:hAnsi="Times New Roman" w:eastAsia="宋体" w:cs="Times New Roman"/>
          <w:kern w:val="0"/>
          <w:sz w:val="21"/>
          <w:szCs w:val="21"/>
          <w:highlight w:val="none"/>
          <w:lang w:val="en-US" w:eastAsia="zh-CN"/>
        </w:rPr>
        <w:t>6</w:t>
      </w:r>
      <w:r>
        <w:rPr>
          <w:rFonts w:ascii="Times New Roman" w:hAnsi="Times New Roman" w:eastAsia="宋体" w:cs="Times New Roman"/>
          <w:kern w:val="0"/>
          <w:sz w:val="21"/>
          <w:szCs w:val="21"/>
          <w:highlight w:val="none"/>
        </w:rPr>
        <w:t>.</w:t>
      </w:r>
      <w:r>
        <w:rPr>
          <w:rFonts w:hint="eastAsia" w:ascii="Times New Roman" w:hAnsi="Times New Roman" w:eastAsia="宋体" w:cs="Times New Roman"/>
          <w:kern w:val="0"/>
          <w:sz w:val="21"/>
          <w:szCs w:val="21"/>
          <w:highlight w:val="none"/>
        </w:rPr>
        <w:t>投标人</w:t>
      </w:r>
      <w:r>
        <w:rPr>
          <w:rFonts w:ascii="Times New Roman" w:hAnsi="Times New Roman" w:eastAsia="宋体" w:cs="Times New Roman"/>
          <w:kern w:val="0"/>
          <w:sz w:val="21"/>
          <w:szCs w:val="21"/>
          <w:highlight w:val="none"/>
        </w:rPr>
        <w:t>提供</w:t>
      </w:r>
      <w:r>
        <w:rPr>
          <w:rFonts w:ascii="Times New Roman" w:hAnsi="Times New Roman" w:eastAsia="宋体" w:cs="Times New Roman"/>
          <w:bCs w:val="0"/>
          <w:kern w:val="0"/>
          <w:sz w:val="21"/>
          <w:szCs w:val="21"/>
          <w:highlight w:val="none"/>
        </w:rPr>
        <w:t>自20</w:t>
      </w:r>
      <w:r>
        <w:rPr>
          <w:rFonts w:hint="eastAsia" w:ascii="Times New Roman" w:hAnsi="Times New Roman" w:eastAsia="宋体" w:cs="Times New Roman"/>
          <w:bCs w:val="0"/>
          <w:kern w:val="0"/>
          <w:sz w:val="21"/>
          <w:szCs w:val="21"/>
          <w:highlight w:val="none"/>
        </w:rPr>
        <w:t>2</w:t>
      </w:r>
      <w:r>
        <w:rPr>
          <w:rFonts w:hint="eastAsia" w:ascii="Times New Roman" w:hAnsi="Times New Roman" w:eastAsia="宋体" w:cs="Times New Roman"/>
          <w:bCs w:val="0"/>
          <w:kern w:val="0"/>
          <w:sz w:val="21"/>
          <w:szCs w:val="21"/>
          <w:highlight w:val="none"/>
          <w:lang w:val="en-US" w:eastAsia="zh-CN"/>
        </w:rPr>
        <w:t>0</w:t>
      </w:r>
      <w:r>
        <w:rPr>
          <w:rFonts w:ascii="Times New Roman" w:hAnsi="Times New Roman" w:eastAsia="宋体" w:cs="Times New Roman"/>
          <w:bCs w:val="0"/>
          <w:kern w:val="0"/>
          <w:sz w:val="21"/>
          <w:szCs w:val="21"/>
          <w:highlight w:val="none"/>
        </w:rPr>
        <w:t>年1月1日</w:t>
      </w:r>
      <w:r>
        <w:rPr>
          <w:rFonts w:hint="eastAsia" w:ascii="Times New Roman" w:hAnsi="Times New Roman" w:eastAsia="宋体" w:cs="Times New Roman"/>
          <w:bCs w:val="0"/>
          <w:kern w:val="0"/>
          <w:sz w:val="21"/>
          <w:szCs w:val="21"/>
          <w:highlight w:val="none"/>
        </w:rPr>
        <w:t>以来（完成过的）</w:t>
      </w:r>
      <w:r>
        <w:rPr>
          <w:rFonts w:ascii="Times New Roman" w:hAnsi="Times New Roman" w:eastAsia="宋体" w:cs="Times New Roman"/>
          <w:bCs w:val="0"/>
          <w:kern w:val="0"/>
          <w:sz w:val="21"/>
          <w:szCs w:val="21"/>
          <w:highlight w:val="none"/>
        </w:rPr>
        <w:t>与本项目同类项目业绩一览表（如磋商文件有要求时提供）</w:t>
      </w:r>
    </w:p>
    <w:tbl>
      <w:tblPr>
        <w:tblStyle w:val="42"/>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45"/>
        <w:gridCol w:w="1529"/>
        <w:gridCol w:w="1059"/>
        <w:gridCol w:w="1410"/>
        <w:gridCol w:w="1507"/>
        <w:gridCol w:w="1475"/>
      </w:tblGrid>
      <w:tr w14:paraId="254C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654" w:type="dxa"/>
            <w:vAlign w:val="center"/>
          </w:tcPr>
          <w:p w14:paraId="28A01D05">
            <w:pPr>
              <w:spacing w:line="400" w:lineRule="exact"/>
              <w:jc w:val="center"/>
              <w:rPr>
                <w:highlight w:val="none"/>
              </w:rPr>
            </w:pPr>
            <w:r>
              <w:rPr>
                <w:highlight w:val="none"/>
              </w:rPr>
              <w:t>序号</w:t>
            </w:r>
          </w:p>
        </w:tc>
        <w:tc>
          <w:tcPr>
            <w:tcW w:w="1545" w:type="dxa"/>
            <w:vAlign w:val="center"/>
          </w:tcPr>
          <w:p w14:paraId="4D2EE3D0">
            <w:pPr>
              <w:spacing w:line="400" w:lineRule="exact"/>
              <w:jc w:val="center"/>
              <w:rPr>
                <w:highlight w:val="none"/>
              </w:rPr>
            </w:pPr>
            <w:r>
              <w:rPr>
                <w:highlight w:val="none"/>
              </w:rPr>
              <w:t>采购单位名称</w:t>
            </w:r>
          </w:p>
        </w:tc>
        <w:tc>
          <w:tcPr>
            <w:tcW w:w="1529" w:type="dxa"/>
            <w:vAlign w:val="center"/>
          </w:tcPr>
          <w:p w14:paraId="15834EF5">
            <w:pPr>
              <w:spacing w:line="400" w:lineRule="exact"/>
              <w:jc w:val="center"/>
              <w:rPr>
                <w:highlight w:val="none"/>
              </w:rPr>
            </w:pPr>
            <w:r>
              <w:rPr>
                <w:highlight w:val="none"/>
              </w:rPr>
              <w:t>项目名称或服务内容</w:t>
            </w:r>
          </w:p>
        </w:tc>
        <w:tc>
          <w:tcPr>
            <w:tcW w:w="1059" w:type="dxa"/>
            <w:vAlign w:val="center"/>
          </w:tcPr>
          <w:p w14:paraId="18EF274B">
            <w:pPr>
              <w:spacing w:line="400" w:lineRule="exact"/>
              <w:jc w:val="center"/>
              <w:rPr>
                <w:highlight w:val="none"/>
              </w:rPr>
            </w:pPr>
            <w:r>
              <w:rPr>
                <w:highlight w:val="none"/>
              </w:rPr>
              <w:t>服务数量或年限</w:t>
            </w:r>
          </w:p>
        </w:tc>
        <w:tc>
          <w:tcPr>
            <w:tcW w:w="1410" w:type="dxa"/>
            <w:vAlign w:val="center"/>
          </w:tcPr>
          <w:p w14:paraId="689D182E">
            <w:pPr>
              <w:spacing w:line="400" w:lineRule="exact"/>
              <w:jc w:val="center"/>
              <w:rPr>
                <w:highlight w:val="none"/>
              </w:rPr>
            </w:pPr>
            <w:r>
              <w:rPr>
                <w:highlight w:val="none"/>
              </w:rPr>
              <w:t>合同金额</w:t>
            </w:r>
            <w:r>
              <w:rPr>
                <w:rFonts w:hint="eastAsia"/>
                <w:highlight w:val="none"/>
              </w:rPr>
              <w:t>（元）（如有）</w:t>
            </w:r>
          </w:p>
        </w:tc>
        <w:tc>
          <w:tcPr>
            <w:tcW w:w="1507" w:type="dxa"/>
            <w:vAlign w:val="center"/>
          </w:tcPr>
          <w:p w14:paraId="74C0A97A">
            <w:pPr>
              <w:spacing w:line="400" w:lineRule="exact"/>
              <w:jc w:val="center"/>
              <w:rPr>
                <w:highlight w:val="none"/>
              </w:rPr>
            </w:pPr>
            <w:r>
              <w:rPr>
                <w:highlight w:val="none"/>
              </w:rPr>
              <w:t>合同执行时间</w:t>
            </w:r>
          </w:p>
        </w:tc>
        <w:tc>
          <w:tcPr>
            <w:tcW w:w="1475" w:type="dxa"/>
            <w:vAlign w:val="center"/>
          </w:tcPr>
          <w:p w14:paraId="2A010531">
            <w:pPr>
              <w:spacing w:line="400" w:lineRule="exact"/>
              <w:jc w:val="center"/>
              <w:rPr>
                <w:highlight w:val="none"/>
              </w:rPr>
            </w:pPr>
            <w:r>
              <w:rPr>
                <w:highlight w:val="none"/>
              </w:rPr>
              <w:t>备注</w:t>
            </w:r>
          </w:p>
        </w:tc>
      </w:tr>
      <w:tr w14:paraId="520C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5A4EEA1E">
            <w:pPr>
              <w:spacing w:line="400" w:lineRule="exact"/>
              <w:jc w:val="center"/>
              <w:rPr>
                <w:highlight w:val="none"/>
              </w:rPr>
            </w:pPr>
          </w:p>
        </w:tc>
        <w:tc>
          <w:tcPr>
            <w:tcW w:w="1545" w:type="dxa"/>
          </w:tcPr>
          <w:p w14:paraId="4B6420D4">
            <w:pPr>
              <w:spacing w:line="400" w:lineRule="exact"/>
              <w:rPr>
                <w:highlight w:val="none"/>
              </w:rPr>
            </w:pPr>
          </w:p>
        </w:tc>
        <w:tc>
          <w:tcPr>
            <w:tcW w:w="1529" w:type="dxa"/>
          </w:tcPr>
          <w:p w14:paraId="55E25E82">
            <w:pPr>
              <w:spacing w:line="400" w:lineRule="exact"/>
              <w:rPr>
                <w:highlight w:val="none"/>
              </w:rPr>
            </w:pPr>
          </w:p>
        </w:tc>
        <w:tc>
          <w:tcPr>
            <w:tcW w:w="1059" w:type="dxa"/>
          </w:tcPr>
          <w:p w14:paraId="7C41B3C4">
            <w:pPr>
              <w:spacing w:line="400" w:lineRule="exact"/>
              <w:rPr>
                <w:highlight w:val="none"/>
              </w:rPr>
            </w:pPr>
          </w:p>
        </w:tc>
        <w:tc>
          <w:tcPr>
            <w:tcW w:w="1410" w:type="dxa"/>
          </w:tcPr>
          <w:p w14:paraId="0C4C70DF">
            <w:pPr>
              <w:spacing w:line="400" w:lineRule="exact"/>
              <w:rPr>
                <w:highlight w:val="none"/>
              </w:rPr>
            </w:pPr>
          </w:p>
        </w:tc>
        <w:tc>
          <w:tcPr>
            <w:tcW w:w="1507" w:type="dxa"/>
          </w:tcPr>
          <w:p w14:paraId="5246784A">
            <w:pPr>
              <w:spacing w:line="400" w:lineRule="exact"/>
              <w:rPr>
                <w:highlight w:val="none"/>
              </w:rPr>
            </w:pPr>
          </w:p>
        </w:tc>
        <w:tc>
          <w:tcPr>
            <w:tcW w:w="1475" w:type="dxa"/>
          </w:tcPr>
          <w:p w14:paraId="00D4659C">
            <w:pPr>
              <w:spacing w:line="400" w:lineRule="exact"/>
              <w:rPr>
                <w:highlight w:val="none"/>
              </w:rPr>
            </w:pPr>
          </w:p>
        </w:tc>
      </w:tr>
      <w:tr w14:paraId="0060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26D38910">
            <w:pPr>
              <w:spacing w:line="400" w:lineRule="exact"/>
              <w:jc w:val="center"/>
              <w:rPr>
                <w:highlight w:val="none"/>
              </w:rPr>
            </w:pPr>
          </w:p>
        </w:tc>
        <w:tc>
          <w:tcPr>
            <w:tcW w:w="1545" w:type="dxa"/>
          </w:tcPr>
          <w:p w14:paraId="71CEC162">
            <w:pPr>
              <w:spacing w:line="400" w:lineRule="exact"/>
              <w:rPr>
                <w:highlight w:val="none"/>
              </w:rPr>
            </w:pPr>
          </w:p>
        </w:tc>
        <w:tc>
          <w:tcPr>
            <w:tcW w:w="1529" w:type="dxa"/>
          </w:tcPr>
          <w:p w14:paraId="05918A1B">
            <w:pPr>
              <w:spacing w:line="400" w:lineRule="exact"/>
              <w:rPr>
                <w:highlight w:val="none"/>
              </w:rPr>
            </w:pPr>
          </w:p>
        </w:tc>
        <w:tc>
          <w:tcPr>
            <w:tcW w:w="1059" w:type="dxa"/>
          </w:tcPr>
          <w:p w14:paraId="6CB4B3D1">
            <w:pPr>
              <w:spacing w:line="400" w:lineRule="exact"/>
              <w:rPr>
                <w:highlight w:val="none"/>
              </w:rPr>
            </w:pPr>
          </w:p>
        </w:tc>
        <w:tc>
          <w:tcPr>
            <w:tcW w:w="1410" w:type="dxa"/>
          </w:tcPr>
          <w:p w14:paraId="32F7C38C">
            <w:pPr>
              <w:spacing w:line="400" w:lineRule="exact"/>
              <w:rPr>
                <w:highlight w:val="none"/>
              </w:rPr>
            </w:pPr>
          </w:p>
        </w:tc>
        <w:tc>
          <w:tcPr>
            <w:tcW w:w="1507" w:type="dxa"/>
          </w:tcPr>
          <w:p w14:paraId="1D52F0EF">
            <w:pPr>
              <w:spacing w:line="400" w:lineRule="exact"/>
              <w:rPr>
                <w:highlight w:val="none"/>
              </w:rPr>
            </w:pPr>
          </w:p>
        </w:tc>
        <w:tc>
          <w:tcPr>
            <w:tcW w:w="1475" w:type="dxa"/>
          </w:tcPr>
          <w:p w14:paraId="3F22C161">
            <w:pPr>
              <w:spacing w:line="400" w:lineRule="exact"/>
              <w:rPr>
                <w:highlight w:val="none"/>
              </w:rPr>
            </w:pPr>
          </w:p>
        </w:tc>
      </w:tr>
      <w:tr w14:paraId="5BBE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44A453A1">
            <w:pPr>
              <w:spacing w:line="400" w:lineRule="exact"/>
              <w:jc w:val="center"/>
              <w:rPr>
                <w:highlight w:val="none"/>
              </w:rPr>
            </w:pPr>
          </w:p>
        </w:tc>
        <w:tc>
          <w:tcPr>
            <w:tcW w:w="1545" w:type="dxa"/>
          </w:tcPr>
          <w:p w14:paraId="26A4B002">
            <w:pPr>
              <w:spacing w:line="400" w:lineRule="exact"/>
              <w:rPr>
                <w:highlight w:val="none"/>
              </w:rPr>
            </w:pPr>
          </w:p>
        </w:tc>
        <w:tc>
          <w:tcPr>
            <w:tcW w:w="1529" w:type="dxa"/>
          </w:tcPr>
          <w:p w14:paraId="4EAEB004">
            <w:pPr>
              <w:spacing w:line="400" w:lineRule="exact"/>
              <w:rPr>
                <w:highlight w:val="none"/>
              </w:rPr>
            </w:pPr>
          </w:p>
        </w:tc>
        <w:tc>
          <w:tcPr>
            <w:tcW w:w="1059" w:type="dxa"/>
          </w:tcPr>
          <w:p w14:paraId="75219B86">
            <w:pPr>
              <w:spacing w:line="400" w:lineRule="exact"/>
              <w:rPr>
                <w:highlight w:val="none"/>
              </w:rPr>
            </w:pPr>
          </w:p>
        </w:tc>
        <w:tc>
          <w:tcPr>
            <w:tcW w:w="1410" w:type="dxa"/>
          </w:tcPr>
          <w:p w14:paraId="7DE02876">
            <w:pPr>
              <w:spacing w:line="400" w:lineRule="exact"/>
              <w:rPr>
                <w:highlight w:val="none"/>
              </w:rPr>
            </w:pPr>
          </w:p>
        </w:tc>
        <w:tc>
          <w:tcPr>
            <w:tcW w:w="1507" w:type="dxa"/>
          </w:tcPr>
          <w:p w14:paraId="06AAF958">
            <w:pPr>
              <w:spacing w:line="400" w:lineRule="exact"/>
              <w:rPr>
                <w:highlight w:val="none"/>
              </w:rPr>
            </w:pPr>
          </w:p>
        </w:tc>
        <w:tc>
          <w:tcPr>
            <w:tcW w:w="1475" w:type="dxa"/>
          </w:tcPr>
          <w:p w14:paraId="1E4BE6F4">
            <w:pPr>
              <w:spacing w:line="400" w:lineRule="exact"/>
              <w:rPr>
                <w:highlight w:val="none"/>
              </w:rPr>
            </w:pPr>
          </w:p>
        </w:tc>
      </w:tr>
      <w:tr w14:paraId="0FB5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4C4DA454">
            <w:pPr>
              <w:spacing w:line="400" w:lineRule="exact"/>
              <w:rPr>
                <w:highlight w:val="none"/>
              </w:rPr>
            </w:pPr>
          </w:p>
        </w:tc>
        <w:tc>
          <w:tcPr>
            <w:tcW w:w="1545" w:type="dxa"/>
          </w:tcPr>
          <w:p w14:paraId="3355C9D2">
            <w:pPr>
              <w:spacing w:line="400" w:lineRule="exact"/>
              <w:rPr>
                <w:highlight w:val="none"/>
              </w:rPr>
            </w:pPr>
          </w:p>
        </w:tc>
        <w:tc>
          <w:tcPr>
            <w:tcW w:w="1529" w:type="dxa"/>
          </w:tcPr>
          <w:p w14:paraId="4FD119F4">
            <w:pPr>
              <w:spacing w:line="400" w:lineRule="exact"/>
              <w:rPr>
                <w:highlight w:val="none"/>
              </w:rPr>
            </w:pPr>
          </w:p>
        </w:tc>
        <w:tc>
          <w:tcPr>
            <w:tcW w:w="1059" w:type="dxa"/>
          </w:tcPr>
          <w:p w14:paraId="3302F74F">
            <w:pPr>
              <w:spacing w:line="400" w:lineRule="exact"/>
              <w:rPr>
                <w:highlight w:val="none"/>
              </w:rPr>
            </w:pPr>
          </w:p>
        </w:tc>
        <w:tc>
          <w:tcPr>
            <w:tcW w:w="1410" w:type="dxa"/>
          </w:tcPr>
          <w:p w14:paraId="2628C4A7">
            <w:pPr>
              <w:spacing w:line="400" w:lineRule="exact"/>
              <w:rPr>
                <w:highlight w:val="none"/>
              </w:rPr>
            </w:pPr>
          </w:p>
        </w:tc>
        <w:tc>
          <w:tcPr>
            <w:tcW w:w="1507" w:type="dxa"/>
          </w:tcPr>
          <w:p w14:paraId="7A4FAC64">
            <w:pPr>
              <w:spacing w:line="400" w:lineRule="exact"/>
              <w:rPr>
                <w:highlight w:val="none"/>
              </w:rPr>
            </w:pPr>
          </w:p>
        </w:tc>
        <w:tc>
          <w:tcPr>
            <w:tcW w:w="1475" w:type="dxa"/>
          </w:tcPr>
          <w:p w14:paraId="4DE77DC0">
            <w:pPr>
              <w:spacing w:line="400" w:lineRule="exact"/>
              <w:rPr>
                <w:highlight w:val="none"/>
              </w:rPr>
            </w:pPr>
          </w:p>
        </w:tc>
      </w:tr>
    </w:tbl>
    <w:p w14:paraId="220856AA">
      <w:pPr>
        <w:spacing w:line="400" w:lineRule="exact"/>
        <w:rPr>
          <w:highlight w:val="none"/>
        </w:rPr>
      </w:pPr>
    </w:p>
    <w:p w14:paraId="60129A89">
      <w:pPr>
        <w:tabs>
          <w:tab w:val="left" w:pos="567"/>
        </w:tabs>
        <w:spacing w:line="400" w:lineRule="exact"/>
        <w:ind w:firstLine="420" w:firstLineChars="200"/>
        <w:rPr>
          <w:highlight w:val="none"/>
        </w:rPr>
      </w:pPr>
      <w:r>
        <w:rPr>
          <w:highlight w:val="none"/>
        </w:rPr>
        <w:t>1.本表后附相关合同有效页复印件，应按顺序附于本表后；</w:t>
      </w:r>
    </w:p>
    <w:p w14:paraId="307C7CA6">
      <w:pPr>
        <w:tabs>
          <w:tab w:val="left" w:pos="567"/>
        </w:tabs>
        <w:spacing w:line="400" w:lineRule="exact"/>
        <w:ind w:firstLine="420" w:firstLineChars="200"/>
        <w:rPr>
          <w:sz w:val="24"/>
          <w:highlight w:val="none"/>
        </w:rPr>
      </w:pPr>
      <w:r>
        <w:rPr>
          <w:highlight w:val="none"/>
        </w:rPr>
        <w:t>2.表格不够</w:t>
      </w:r>
      <w:r>
        <w:rPr>
          <w:rFonts w:hint="eastAsia"/>
          <w:highlight w:val="none"/>
        </w:rPr>
        <w:t>投标人</w:t>
      </w:r>
      <w:r>
        <w:rPr>
          <w:highlight w:val="none"/>
        </w:rPr>
        <w:t>可以自行扩展，如有多页，请逐页盖章。</w:t>
      </w:r>
    </w:p>
    <w:p w14:paraId="3378EC20">
      <w:pPr>
        <w:tabs>
          <w:tab w:val="left" w:pos="567"/>
        </w:tabs>
        <w:spacing w:line="400" w:lineRule="exact"/>
        <w:rPr>
          <w:highlight w:val="none"/>
        </w:rPr>
      </w:pPr>
    </w:p>
    <w:p w14:paraId="21E82E41">
      <w:pPr>
        <w:spacing w:line="400" w:lineRule="exact"/>
        <w:rPr>
          <w:highlight w:val="none"/>
          <w:u w:val="single"/>
        </w:rPr>
      </w:pPr>
      <w:r>
        <w:rPr>
          <w:rFonts w:hint="eastAsia"/>
          <w:highlight w:val="none"/>
        </w:rPr>
        <w:t>投标人</w:t>
      </w:r>
      <w:r>
        <w:rPr>
          <w:highlight w:val="none"/>
        </w:rPr>
        <w:t>（公章）</w:t>
      </w:r>
      <w:r>
        <w:rPr>
          <w:rFonts w:hint="eastAsia"/>
          <w:highlight w:val="none"/>
        </w:rPr>
        <w:t>：</w:t>
      </w:r>
    </w:p>
    <w:p w14:paraId="0407378D">
      <w:pPr>
        <w:spacing w:line="400" w:lineRule="exact"/>
        <w:rPr>
          <w:highlight w:val="none"/>
          <w:u w:val="single"/>
        </w:rPr>
      </w:pPr>
      <w:r>
        <w:rPr>
          <w:highlight w:val="none"/>
        </w:rPr>
        <w:t>法定代表人或委托代理人</w:t>
      </w:r>
      <w:r>
        <w:rPr>
          <w:rFonts w:hint="eastAsia"/>
          <w:highlight w:val="none"/>
        </w:rPr>
        <w:t>（</w:t>
      </w:r>
      <w:r>
        <w:rPr>
          <w:highlight w:val="none"/>
        </w:rPr>
        <w:t>签字或签章）</w:t>
      </w:r>
      <w:r>
        <w:rPr>
          <w:rFonts w:hint="eastAsia"/>
          <w:highlight w:val="none"/>
        </w:rPr>
        <w:t>：</w:t>
      </w:r>
    </w:p>
    <w:p w14:paraId="0D30DD33">
      <w:pPr>
        <w:pStyle w:val="20"/>
        <w:spacing w:line="400" w:lineRule="exact"/>
        <w:ind w:firstLine="0"/>
        <w:rPr>
          <w:highlight w:val="none"/>
        </w:rPr>
      </w:pPr>
      <w:r>
        <w:rPr>
          <w:highlight w:val="none"/>
        </w:rPr>
        <w:t>日期</w:t>
      </w:r>
      <w:r>
        <w:rPr>
          <w:rFonts w:hint="eastAsia"/>
          <w:highlight w:val="none"/>
        </w:rPr>
        <w:t>：</w:t>
      </w:r>
    </w:p>
    <w:p w14:paraId="67E6F8FB">
      <w:pPr>
        <w:pStyle w:val="20"/>
        <w:ind w:firstLine="0"/>
        <w:rPr>
          <w:b/>
          <w:kern w:val="0"/>
          <w:highlight w:val="none"/>
        </w:rPr>
      </w:pPr>
    </w:p>
    <w:p w14:paraId="2FF293F9">
      <w:pPr>
        <w:pStyle w:val="20"/>
        <w:ind w:firstLine="0"/>
        <w:rPr>
          <w:b/>
          <w:kern w:val="0"/>
          <w:highlight w:val="none"/>
        </w:rPr>
      </w:pPr>
    </w:p>
    <w:p w14:paraId="2015CFBC">
      <w:pPr>
        <w:pStyle w:val="20"/>
        <w:ind w:firstLine="0"/>
        <w:rPr>
          <w:b/>
          <w:kern w:val="0"/>
          <w:szCs w:val="22"/>
          <w:highlight w:val="none"/>
        </w:rPr>
      </w:pPr>
      <w:r>
        <w:rPr>
          <w:b/>
          <w:kern w:val="0"/>
          <w:highlight w:val="none"/>
        </w:rPr>
        <w:t>7-</w:t>
      </w:r>
      <w:r>
        <w:rPr>
          <w:rFonts w:hint="eastAsia"/>
          <w:b/>
          <w:kern w:val="0"/>
          <w:highlight w:val="none"/>
          <w:lang w:val="en-US" w:eastAsia="zh-CN"/>
        </w:rPr>
        <w:t>7</w:t>
      </w:r>
      <w:r>
        <w:rPr>
          <w:b/>
          <w:kern w:val="0"/>
          <w:highlight w:val="none"/>
        </w:rPr>
        <w:t>.</w:t>
      </w:r>
      <w:r>
        <w:rPr>
          <w:highlight w:val="none"/>
        </w:rPr>
        <w:t>项目拟投入服务团队人员结构表（包括但不限于学历、证书情况、职称、年龄、业绩及证明材料等）（如磋商文件有要求时提供）</w:t>
      </w:r>
    </w:p>
    <w:p w14:paraId="2D371264">
      <w:pPr>
        <w:pStyle w:val="20"/>
        <w:ind w:firstLine="0"/>
        <w:jc w:val="center"/>
        <w:rPr>
          <w:b/>
          <w:kern w:val="0"/>
          <w:szCs w:val="22"/>
          <w:highlight w:val="none"/>
        </w:rPr>
      </w:pPr>
      <w:r>
        <w:rPr>
          <w:rFonts w:hint="eastAsia"/>
          <w:highlight w:val="none"/>
        </w:rPr>
        <w:t>7-8-1.</w:t>
      </w:r>
      <w:r>
        <w:rPr>
          <w:highlight w:val="none"/>
        </w:rPr>
        <w:t>项目拟投入服务团队人员（含项目负责人）一览表</w:t>
      </w:r>
    </w:p>
    <w:tbl>
      <w:tblPr>
        <w:tblStyle w:val="4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0"/>
        <w:gridCol w:w="1432"/>
        <w:gridCol w:w="1455"/>
        <w:gridCol w:w="1791"/>
        <w:gridCol w:w="1890"/>
        <w:gridCol w:w="1837"/>
      </w:tblGrid>
      <w:tr w14:paraId="43FD4D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35B493E5">
            <w:pPr>
              <w:pStyle w:val="31"/>
              <w:jc w:val="center"/>
              <w:rPr>
                <w:sz w:val="21"/>
                <w:szCs w:val="21"/>
                <w:highlight w:val="none"/>
              </w:rPr>
            </w:pPr>
            <w:r>
              <w:rPr>
                <w:sz w:val="21"/>
                <w:szCs w:val="21"/>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14:paraId="09341D45">
            <w:pPr>
              <w:pStyle w:val="31"/>
              <w:jc w:val="center"/>
              <w:rPr>
                <w:sz w:val="21"/>
                <w:szCs w:val="21"/>
                <w:highlight w:val="none"/>
              </w:rPr>
            </w:pPr>
            <w:r>
              <w:rPr>
                <w:sz w:val="21"/>
                <w:szCs w:val="21"/>
                <w:highlight w:val="none"/>
              </w:rPr>
              <w:t>姓名</w:t>
            </w:r>
          </w:p>
        </w:tc>
        <w:tc>
          <w:tcPr>
            <w:tcW w:w="1455" w:type="dxa"/>
            <w:tcBorders>
              <w:top w:val="single" w:color="auto" w:sz="4" w:space="0"/>
              <w:left w:val="single" w:color="auto" w:sz="4" w:space="0"/>
              <w:bottom w:val="single" w:color="auto" w:sz="4" w:space="0"/>
              <w:right w:val="single" w:color="auto" w:sz="4" w:space="0"/>
            </w:tcBorders>
            <w:vAlign w:val="center"/>
          </w:tcPr>
          <w:p w14:paraId="1A2D9DD3">
            <w:pPr>
              <w:pStyle w:val="31"/>
              <w:jc w:val="center"/>
              <w:rPr>
                <w:sz w:val="21"/>
                <w:szCs w:val="21"/>
                <w:highlight w:val="none"/>
              </w:rPr>
            </w:pPr>
            <w:r>
              <w:rPr>
                <w:sz w:val="21"/>
                <w:szCs w:val="21"/>
                <w:highlight w:val="none"/>
              </w:rPr>
              <w:t>部门和职务</w:t>
            </w:r>
          </w:p>
        </w:tc>
        <w:tc>
          <w:tcPr>
            <w:tcW w:w="1791" w:type="dxa"/>
            <w:tcBorders>
              <w:top w:val="single" w:color="auto" w:sz="4" w:space="0"/>
              <w:left w:val="single" w:color="auto" w:sz="4" w:space="0"/>
              <w:bottom w:val="single" w:color="auto" w:sz="4" w:space="0"/>
              <w:right w:val="single" w:color="auto" w:sz="4" w:space="0"/>
            </w:tcBorders>
            <w:vAlign w:val="center"/>
          </w:tcPr>
          <w:p w14:paraId="71DFFB0C">
            <w:pPr>
              <w:pStyle w:val="31"/>
              <w:jc w:val="center"/>
              <w:rPr>
                <w:sz w:val="21"/>
                <w:szCs w:val="21"/>
                <w:highlight w:val="none"/>
              </w:rPr>
            </w:pPr>
            <w:r>
              <w:rPr>
                <w:rFonts w:hint="eastAsia"/>
                <w:sz w:val="21"/>
                <w:szCs w:val="21"/>
                <w:highlight w:val="none"/>
              </w:rPr>
              <w:t>拟作本项目角色</w:t>
            </w:r>
          </w:p>
        </w:tc>
        <w:tc>
          <w:tcPr>
            <w:tcW w:w="1890" w:type="dxa"/>
            <w:tcBorders>
              <w:top w:val="single" w:color="auto" w:sz="4" w:space="0"/>
              <w:left w:val="single" w:color="auto" w:sz="4" w:space="0"/>
              <w:bottom w:val="single" w:color="auto" w:sz="4" w:space="0"/>
              <w:right w:val="single" w:color="auto" w:sz="4" w:space="0"/>
            </w:tcBorders>
            <w:vAlign w:val="center"/>
          </w:tcPr>
          <w:p w14:paraId="545F4A9B">
            <w:pPr>
              <w:pStyle w:val="31"/>
              <w:jc w:val="center"/>
              <w:rPr>
                <w:sz w:val="21"/>
                <w:szCs w:val="21"/>
                <w:highlight w:val="none"/>
              </w:rPr>
            </w:pPr>
            <w:r>
              <w:rPr>
                <w:rFonts w:hint="eastAsia"/>
                <w:sz w:val="21"/>
                <w:szCs w:val="21"/>
                <w:highlight w:val="none"/>
              </w:rPr>
              <w:t>从业经验</w:t>
            </w:r>
          </w:p>
        </w:tc>
        <w:tc>
          <w:tcPr>
            <w:tcW w:w="1837" w:type="dxa"/>
            <w:tcBorders>
              <w:top w:val="single" w:color="auto" w:sz="4" w:space="0"/>
              <w:left w:val="single" w:color="auto" w:sz="4" w:space="0"/>
              <w:bottom w:val="single" w:color="auto" w:sz="4" w:space="0"/>
              <w:right w:val="single" w:color="auto" w:sz="4" w:space="0"/>
            </w:tcBorders>
            <w:vAlign w:val="center"/>
          </w:tcPr>
          <w:p w14:paraId="7D5EEA94">
            <w:pPr>
              <w:pStyle w:val="31"/>
              <w:jc w:val="center"/>
              <w:rPr>
                <w:sz w:val="21"/>
                <w:szCs w:val="21"/>
                <w:highlight w:val="none"/>
              </w:rPr>
            </w:pPr>
            <w:r>
              <w:rPr>
                <w:rFonts w:hint="eastAsia"/>
                <w:sz w:val="21"/>
                <w:szCs w:val="21"/>
                <w:highlight w:val="none"/>
              </w:rPr>
              <w:t>备注</w:t>
            </w:r>
          </w:p>
        </w:tc>
      </w:tr>
      <w:tr w14:paraId="666AFE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06091990">
            <w:pPr>
              <w:pStyle w:val="31"/>
              <w:spacing w:line="360" w:lineRule="auto"/>
              <w:jc w:val="center"/>
              <w:rPr>
                <w:sz w:val="21"/>
                <w:szCs w:val="21"/>
                <w:highlight w:val="none"/>
              </w:rPr>
            </w:pPr>
            <w:r>
              <w:rPr>
                <w:sz w:val="21"/>
                <w:szCs w:val="21"/>
                <w:highlight w:val="none"/>
              </w:rPr>
              <w:t>1</w:t>
            </w:r>
          </w:p>
        </w:tc>
        <w:tc>
          <w:tcPr>
            <w:tcW w:w="1432" w:type="dxa"/>
            <w:tcBorders>
              <w:top w:val="single" w:color="auto" w:sz="4" w:space="0"/>
              <w:left w:val="single" w:color="auto" w:sz="4" w:space="0"/>
              <w:bottom w:val="single" w:color="auto" w:sz="4" w:space="0"/>
              <w:right w:val="single" w:color="auto" w:sz="4" w:space="0"/>
            </w:tcBorders>
            <w:vAlign w:val="center"/>
          </w:tcPr>
          <w:p w14:paraId="52FC2725">
            <w:pPr>
              <w:pStyle w:val="31"/>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25871CD0">
            <w:pPr>
              <w:pStyle w:val="31"/>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5698E944">
            <w:pPr>
              <w:pStyle w:val="31"/>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486F5EEE">
            <w:pPr>
              <w:pStyle w:val="31"/>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4C2F4113">
            <w:pPr>
              <w:pStyle w:val="31"/>
              <w:spacing w:line="360" w:lineRule="auto"/>
              <w:jc w:val="center"/>
              <w:rPr>
                <w:sz w:val="21"/>
                <w:szCs w:val="21"/>
                <w:highlight w:val="none"/>
              </w:rPr>
            </w:pPr>
          </w:p>
        </w:tc>
      </w:tr>
      <w:tr w14:paraId="4807E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010F9C74">
            <w:pPr>
              <w:pStyle w:val="31"/>
              <w:spacing w:line="360" w:lineRule="auto"/>
              <w:jc w:val="center"/>
              <w:rPr>
                <w:sz w:val="21"/>
                <w:szCs w:val="21"/>
                <w:highlight w:val="none"/>
              </w:rPr>
            </w:pPr>
            <w:r>
              <w:rPr>
                <w:sz w:val="21"/>
                <w:szCs w:val="21"/>
                <w:highlight w:val="none"/>
              </w:rPr>
              <w:t>2</w:t>
            </w:r>
          </w:p>
        </w:tc>
        <w:tc>
          <w:tcPr>
            <w:tcW w:w="1432" w:type="dxa"/>
            <w:tcBorders>
              <w:top w:val="single" w:color="auto" w:sz="4" w:space="0"/>
              <w:left w:val="single" w:color="auto" w:sz="4" w:space="0"/>
              <w:bottom w:val="single" w:color="auto" w:sz="4" w:space="0"/>
              <w:right w:val="single" w:color="auto" w:sz="4" w:space="0"/>
            </w:tcBorders>
            <w:vAlign w:val="center"/>
          </w:tcPr>
          <w:p w14:paraId="6430A83D">
            <w:pPr>
              <w:pStyle w:val="31"/>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3826AD53">
            <w:pPr>
              <w:pStyle w:val="31"/>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70A2A395">
            <w:pPr>
              <w:pStyle w:val="31"/>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0AD4B382">
            <w:pPr>
              <w:pStyle w:val="31"/>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4C309915">
            <w:pPr>
              <w:pStyle w:val="31"/>
              <w:spacing w:line="360" w:lineRule="auto"/>
              <w:jc w:val="center"/>
              <w:rPr>
                <w:sz w:val="21"/>
                <w:szCs w:val="21"/>
                <w:highlight w:val="none"/>
              </w:rPr>
            </w:pPr>
          </w:p>
        </w:tc>
      </w:tr>
      <w:tr w14:paraId="528DB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2B3660A1">
            <w:pPr>
              <w:pStyle w:val="31"/>
              <w:spacing w:line="360" w:lineRule="auto"/>
              <w:jc w:val="center"/>
              <w:rPr>
                <w:sz w:val="21"/>
                <w:szCs w:val="21"/>
                <w:highlight w:val="none"/>
              </w:rPr>
            </w:pPr>
            <w:r>
              <w:rPr>
                <w:sz w:val="21"/>
                <w:szCs w:val="21"/>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14:paraId="26BFE0A7">
            <w:pPr>
              <w:pStyle w:val="31"/>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38434CCA">
            <w:pPr>
              <w:pStyle w:val="31"/>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74C9F23E">
            <w:pPr>
              <w:pStyle w:val="31"/>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77C9B2CF">
            <w:pPr>
              <w:pStyle w:val="31"/>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74590993">
            <w:pPr>
              <w:pStyle w:val="31"/>
              <w:spacing w:line="360" w:lineRule="auto"/>
              <w:jc w:val="center"/>
              <w:rPr>
                <w:sz w:val="21"/>
                <w:szCs w:val="21"/>
                <w:highlight w:val="none"/>
              </w:rPr>
            </w:pPr>
          </w:p>
        </w:tc>
      </w:tr>
    </w:tbl>
    <w:p w14:paraId="5BAF6090">
      <w:pPr>
        <w:pStyle w:val="28"/>
        <w:spacing w:line="400" w:lineRule="exact"/>
        <w:rPr>
          <w:rFonts w:ascii="Times New Roman" w:hAnsi="Times New Roman" w:eastAsia="宋体" w:cs="Times New Roman"/>
          <w:highlight w:val="none"/>
        </w:rPr>
      </w:pPr>
    </w:p>
    <w:p w14:paraId="1919759B">
      <w:pPr>
        <w:pStyle w:val="28"/>
        <w:spacing w:line="400" w:lineRule="exact"/>
        <w:jc w:val="center"/>
        <w:rPr>
          <w:rFonts w:ascii="Times New Roman" w:hAnsi="Times New Roman" w:eastAsia="宋体" w:cs="Times New Roman"/>
          <w:highlight w:val="none"/>
        </w:rPr>
      </w:pPr>
      <w:r>
        <w:rPr>
          <w:rFonts w:hint="eastAsia" w:ascii="Times New Roman" w:hAnsi="Times New Roman" w:eastAsia="宋体" w:cs="Times New Roman"/>
          <w:highlight w:val="none"/>
        </w:rPr>
        <w:t>7-8-2项目拟投入服务团队人员简历表</w:t>
      </w:r>
    </w:p>
    <w:tbl>
      <w:tblPr>
        <w:tblStyle w:val="42"/>
        <w:tblW w:w="9765" w:type="dxa"/>
        <w:jc w:val="center"/>
        <w:tblLayout w:type="fixed"/>
        <w:tblCellMar>
          <w:top w:w="0" w:type="dxa"/>
          <w:left w:w="0" w:type="dxa"/>
          <w:bottom w:w="0" w:type="dxa"/>
          <w:right w:w="0" w:type="dxa"/>
        </w:tblCellMar>
      </w:tblPr>
      <w:tblGrid>
        <w:gridCol w:w="852"/>
        <w:gridCol w:w="735"/>
        <w:gridCol w:w="1191"/>
        <w:gridCol w:w="418"/>
        <w:gridCol w:w="694"/>
        <w:gridCol w:w="1412"/>
        <w:gridCol w:w="883"/>
        <w:gridCol w:w="1125"/>
        <w:gridCol w:w="1170"/>
        <w:gridCol w:w="1285"/>
      </w:tblGrid>
      <w:tr w14:paraId="3AFA705A">
        <w:tblPrEx>
          <w:tblCellMar>
            <w:top w:w="0" w:type="dxa"/>
            <w:left w:w="0" w:type="dxa"/>
            <w:bottom w:w="0" w:type="dxa"/>
            <w:right w:w="0" w:type="dxa"/>
          </w:tblCellMar>
        </w:tblPrEx>
        <w:trPr>
          <w:trHeight w:val="51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0FD86E4B">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姓名</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37720B0C">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28A1CD9A">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性别</w:t>
            </w:r>
          </w:p>
        </w:tc>
        <w:tc>
          <w:tcPr>
            <w:tcW w:w="1412" w:type="dxa"/>
            <w:tcBorders>
              <w:top w:val="single" w:color="auto" w:sz="6" w:space="0"/>
              <w:left w:val="single" w:color="auto" w:sz="6" w:space="0"/>
              <w:bottom w:val="single" w:color="auto" w:sz="6" w:space="0"/>
              <w:right w:val="single" w:color="auto" w:sz="6" w:space="0"/>
            </w:tcBorders>
            <w:vAlign w:val="center"/>
          </w:tcPr>
          <w:p w14:paraId="13B0411B">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606831FF">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年龄</w:t>
            </w:r>
          </w:p>
        </w:tc>
        <w:tc>
          <w:tcPr>
            <w:tcW w:w="1125" w:type="dxa"/>
            <w:tcBorders>
              <w:top w:val="single" w:color="auto" w:sz="6" w:space="0"/>
              <w:left w:val="single" w:color="auto" w:sz="6" w:space="0"/>
              <w:bottom w:val="single" w:color="auto" w:sz="6" w:space="0"/>
              <w:right w:val="single" w:color="auto" w:sz="6" w:space="0"/>
            </w:tcBorders>
            <w:vAlign w:val="center"/>
          </w:tcPr>
          <w:p w14:paraId="2F8707CC">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06A711D5">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政治面貌</w:t>
            </w:r>
          </w:p>
        </w:tc>
        <w:tc>
          <w:tcPr>
            <w:tcW w:w="1285" w:type="dxa"/>
            <w:tcBorders>
              <w:top w:val="single" w:color="auto" w:sz="6" w:space="0"/>
              <w:left w:val="single" w:color="auto" w:sz="6" w:space="0"/>
              <w:bottom w:val="single" w:color="auto" w:sz="6" w:space="0"/>
              <w:right w:val="single" w:color="auto" w:sz="6" w:space="0"/>
            </w:tcBorders>
            <w:vAlign w:val="center"/>
          </w:tcPr>
          <w:p w14:paraId="2405C8B8">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690557FD">
        <w:tblPrEx>
          <w:tblCellMar>
            <w:top w:w="0" w:type="dxa"/>
            <w:left w:w="0" w:type="dxa"/>
            <w:bottom w:w="0" w:type="dxa"/>
            <w:right w:w="0" w:type="dxa"/>
          </w:tblCellMar>
        </w:tblPrEx>
        <w:trPr>
          <w:trHeight w:val="50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3A98BD74">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职务</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07B81662">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4D0FEC25">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职称</w:t>
            </w:r>
          </w:p>
        </w:tc>
        <w:tc>
          <w:tcPr>
            <w:tcW w:w="1412" w:type="dxa"/>
            <w:tcBorders>
              <w:top w:val="single" w:color="auto" w:sz="6" w:space="0"/>
              <w:left w:val="single" w:color="auto" w:sz="6" w:space="0"/>
              <w:bottom w:val="single" w:color="auto" w:sz="6" w:space="0"/>
              <w:right w:val="single" w:color="auto" w:sz="6" w:space="0"/>
            </w:tcBorders>
            <w:vAlign w:val="center"/>
          </w:tcPr>
          <w:p w14:paraId="446DDAE7">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6AB9EF0A">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学历</w:t>
            </w:r>
          </w:p>
        </w:tc>
        <w:tc>
          <w:tcPr>
            <w:tcW w:w="1125" w:type="dxa"/>
            <w:tcBorders>
              <w:top w:val="single" w:color="auto" w:sz="6" w:space="0"/>
              <w:left w:val="single" w:color="auto" w:sz="6" w:space="0"/>
              <w:bottom w:val="single" w:color="auto" w:sz="6" w:space="0"/>
              <w:right w:val="single" w:color="auto" w:sz="6" w:space="0"/>
            </w:tcBorders>
            <w:vAlign w:val="center"/>
          </w:tcPr>
          <w:p w14:paraId="0536EDD0">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5B5D38FC">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健康状况</w:t>
            </w:r>
          </w:p>
        </w:tc>
        <w:tc>
          <w:tcPr>
            <w:tcW w:w="1285" w:type="dxa"/>
            <w:tcBorders>
              <w:top w:val="single" w:color="auto" w:sz="6" w:space="0"/>
              <w:left w:val="single" w:color="auto" w:sz="6" w:space="0"/>
              <w:bottom w:val="single" w:color="auto" w:sz="6" w:space="0"/>
              <w:right w:val="single" w:color="auto" w:sz="6" w:space="0"/>
            </w:tcBorders>
            <w:vAlign w:val="center"/>
          </w:tcPr>
          <w:p w14:paraId="6899968B">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18FB99FA">
        <w:tblPrEx>
          <w:tblCellMar>
            <w:top w:w="0" w:type="dxa"/>
            <w:left w:w="0" w:type="dxa"/>
            <w:bottom w:w="0" w:type="dxa"/>
            <w:right w:w="0" w:type="dxa"/>
          </w:tblCellMar>
        </w:tblPrEx>
        <w:trPr>
          <w:trHeight w:val="451"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31BC02D0">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毕业院校/专业</w:t>
            </w:r>
          </w:p>
        </w:tc>
        <w:tc>
          <w:tcPr>
            <w:tcW w:w="2524" w:type="dxa"/>
            <w:gridSpan w:val="3"/>
            <w:tcBorders>
              <w:top w:val="single" w:color="auto" w:sz="6" w:space="0"/>
              <w:left w:val="single" w:color="auto" w:sz="6" w:space="0"/>
              <w:bottom w:val="single" w:color="auto" w:sz="6" w:space="0"/>
              <w:right w:val="single" w:color="auto" w:sz="4" w:space="0"/>
            </w:tcBorders>
            <w:vAlign w:val="center"/>
          </w:tcPr>
          <w:p w14:paraId="73A97C70">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4" w:space="0"/>
              <w:bottom w:val="single" w:color="auto" w:sz="6" w:space="0"/>
              <w:right w:val="single" w:color="auto" w:sz="6" w:space="0"/>
            </w:tcBorders>
            <w:vAlign w:val="center"/>
          </w:tcPr>
          <w:p w14:paraId="7ADA0363">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参加工作时间</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52C60655">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5B18FDD0">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77165F43">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技术职称编号</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334CE1C8">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602CA6FE">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5D99277C">
            <w:pPr>
              <w:autoSpaceDE w:val="0"/>
              <w:autoSpaceDN w:val="0"/>
              <w:adjustRightInd w:val="0"/>
              <w:spacing w:line="400" w:lineRule="exact"/>
              <w:jc w:val="center"/>
              <w:rPr>
                <w:highlight w:val="none"/>
              </w:rPr>
            </w:pPr>
            <w:r>
              <w:rPr>
                <w:highlight w:val="none"/>
              </w:rPr>
              <w:t>获得认证资质证书</w:t>
            </w:r>
          </w:p>
          <w:p w14:paraId="436E6FD5">
            <w:pPr>
              <w:autoSpaceDE w:val="0"/>
              <w:autoSpaceDN w:val="0"/>
              <w:adjustRightInd w:val="0"/>
              <w:spacing w:line="400" w:lineRule="exact"/>
              <w:jc w:val="center"/>
              <w:rPr>
                <w:rFonts w:asciiTheme="minorEastAsia" w:hAnsiTheme="minorEastAsia" w:eastAsiaTheme="minorEastAsia" w:cstheme="minorEastAsia"/>
                <w:kern w:val="0"/>
                <w:highlight w:val="none"/>
              </w:rPr>
            </w:pPr>
            <w:r>
              <w:rPr>
                <w:highlight w:val="none"/>
              </w:rPr>
              <w:t>（持证情况）</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77228087">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47F63205">
        <w:tblPrEx>
          <w:tblCellMar>
            <w:top w:w="0" w:type="dxa"/>
            <w:left w:w="0" w:type="dxa"/>
            <w:bottom w:w="0" w:type="dxa"/>
            <w:right w:w="0" w:type="dxa"/>
          </w:tblCellMar>
        </w:tblPrEx>
        <w:trPr>
          <w:jc w:val="center"/>
        </w:trPr>
        <w:tc>
          <w:tcPr>
            <w:tcW w:w="9765" w:type="dxa"/>
            <w:gridSpan w:val="10"/>
            <w:tcBorders>
              <w:top w:val="single" w:color="auto" w:sz="6" w:space="0"/>
              <w:left w:val="single" w:color="auto" w:sz="6" w:space="0"/>
              <w:bottom w:val="single" w:color="auto" w:sz="6" w:space="0"/>
              <w:right w:val="single" w:color="auto" w:sz="6" w:space="0"/>
            </w:tcBorders>
            <w:vAlign w:val="center"/>
          </w:tcPr>
          <w:p w14:paraId="4882DAF2">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类似项目服务情况</w:t>
            </w:r>
          </w:p>
        </w:tc>
      </w:tr>
      <w:tr w14:paraId="39A7B25C">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24FE5A54">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项目实施单位</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5F32EAF1">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项目名称</w:t>
            </w: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1D3FC7BD">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项目起止日期</w:t>
            </w: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720B84BE">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项目角色</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6D6E86E5">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工作职责及工作内容</w:t>
            </w:r>
          </w:p>
        </w:tc>
      </w:tr>
      <w:tr w14:paraId="250A09D4">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176F2A2E">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350476FD">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21618266">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3BFAF7B6">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75149CAE">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0DCD318A">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1468D9DF">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70E6E745">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6CDA1C81">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199830A5">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60144961">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bl>
    <w:p w14:paraId="2A89CC7B">
      <w:pPr>
        <w:pStyle w:val="18"/>
        <w:rPr>
          <w:highlight w:val="none"/>
        </w:rPr>
      </w:pPr>
    </w:p>
    <w:p w14:paraId="4B965245">
      <w:pPr>
        <w:pStyle w:val="18"/>
        <w:rPr>
          <w:highlight w:val="none"/>
        </w:rPr>
      </w:pPr>
    </w:p>
    <w:p w14:paraId="7023A111">
      <w:pPr>
        <w:pStyle w:val="28"/>
        <w:spacing w:line="400" w:lineRule="exact"/>
        <w:rPr>
          <w:rFonts w:ascii="Times New Roman" w:hAnsi="Times New Roman" w:eastAsia="宋体" w:cs="Times New Roman"/>
          <w:highlight w:val="none"/>
        </w:rPr>
      </w:pPr>
      <w:r>
        <w:rPr>
          <w:rFonts w:ascii="Times New Roman" w:hAnsi="Times New Roman" w:eastAsia="宋体" w:cs="Times New Roman"/>
          <w:highlight w:val="none"/>
        </w:rPr>
        <w:t>注：1.在填写时，如本表格不适合</w:t>
      </w:r>
      <w:r>
        <w:rPr>
          <w:rFonts w:hint="eastAsia" w:ascii="Times New Roman" w:hAnsi="Times New Roman" w:eastAsia="宋体" w:cs="Times New Roman"/>
          <w:highlight w:val="none"/>
        </w:rPr>
        <w:t>投标人</w:t>
      </w:r>
      <w:r>
        <w:rPr>
          <w:rFonts w:ascii="Times New Roman" w:hAnsi="Times New Roman" w:eastAsia="宋体" w:cs="Times New Roman"/>
          <w:highlight w:val="none"/>
        </w:rPr>
        <w:t>的实际情况，可根据本表格式自行划表填写。</w:t>
      </w:r>
    </w:p>
    <w:p w14:paraId="02222475">
      <w:pPr>
        <w:pStyle w:val="28"/>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2.</w:t>
      </w:r>
      <w:r>
        <w:rPr>
          <w:rFonts w:ascii="Times New Roman" w:hAnsi="Times New Roman" w:eastAsia="宋体" w:cs="Times New Roman"/>
          <w:kern w:val="0"/>
          <w:highlight w:val="none"/>
        </w:rPr>
        <w:t>涉及实施团队</w:t>
      </w:r>
      <w:r>
        <w:rPr>
          <w:rFonts w:hint="eastAsia" w:ascii="Times New Roman" w:hAnsi="Times New Roman" w:eastAsia="宋体" w:cs="Times New Roman"/>
          <w:kern w:val="0"/>
          <w:highlight w:val="none"/>
          <w:lang w:eastAsia="zh-CN"/>
        </w:rPr>
        <w:t>、</w:t>
      </w:r>
      <w:r>
        <w:rPr>
          <w:rFonts w:ascii="Times New Roman" w:hAnsi="Times New Roman" w:eastAsia="宋体" w:cs="Times New Roman"/>
          <w:kern w:val="0"/>
          <w:highlight w:val="none"/>
        </w:rPr>
        <w:t>服务人员，须提供人员简历和技术认证证书复印件，作为实施团队能力和技术水平的参考（</w:t>
      </w:r>
      <w:r>
        <w:rPr>
          <w:rFonts w:ascii="Times New Roman" w:hAnsi="Times New Roman" w:eastAsia="宋体" w:cs="Times New Roman"/>
          <w:kern w:val="0"/>
          <w:highlight w:val="none"/>
        </w:rPr>
        <w:t>所提供的资质必须在有效期内，需明确注明是</w:t>
      </w:r>
      <w:r>
        <w:rPr>
          <w:rFonts w:hint="eastAsia" w:ascii="Times New Roman" w:hAnsi="Times New Roman" w:eastAsia="宋体" w:cs="Times New Roman"/>
          <w:kern w:val="0"/>
          <w:highlight w:val="none"/>
        </w:rPr>
        <w:t>投标人</w:t>
      </w:r>
      <w:r>
        <w:rPr>
          <w:rFonts w:ascii="Times New Roman" w:hAnsi="Times New Roman" w:eastAsia="宋体" w:cs="Times New Roman"/>
          <w:kern w:val="0"/>
          <w:highlight w:val="none"/>
        </w:rPr>
        <w:t>员工，需提供员工劳动合同关键页或</w:t>
      </w:r>
      <w:r>
        <w:rPr>
          <w:rFonts w:hint="eastAsia" w:ascii="Times New Roman" w:hAnsi="Times New Roman" w:eastAsia="宋体" w:cs="Times New Roman"/>
          <w:kern w:val="0"/>
          <w:highlight w:val="none"/>
        </w:rPr>
        <w:t>由投标人在截标时间前</w:t>
      </w:r>
      <w:r>
        <w:rPr>
          <w:rFonts w:hint="eastAsia" w:asciiTheme="minorEastAsia" w:hAnsiTheme="minorEastAsia" w:eastAsiaTheme="minorEastAsia" w:cstheme="minorEastAsia"/>
          <w:highlight w:val="none"/>
          <w:lang w:val="en-US"/>
        </w:rPr>
        <w:t>连续</w:t>
      </w:r>
      <w:r>
        <w:rPr>
          <w:rFonts w:hint="eastAsia" w:asciiTheme="minorEastAsia" w:hAnsiTheme="minorEastAsia" w:eastAsiaTheme="minorEastAsia" w:cstheme="minorEastAsia"/>
          <w:highlight w:val="none"/>
          <w:lang w:val="en-US" w:eastAsia="zh-CN"/>
        </w:rPr>
        <w:t>6</w:t>
      </w:r>
      <w:r>
        <w:rPr>
          <w:rFonts w:hint="eastAsia" w:asciiTheme="minorEastAsia" w:hAnsiTheme="minorEastAsia" w:eastAsiaTheme="minorEastAsia" w:cstheme="minorEastAsia"/>
          <w:highlight w:val="none"/>
        </w:rPr>
        <w:t>个月</w:t>
      </w:r>
      <w:r>
        <w:rPr>
          <w:rFonts w:hint="eastAsia" w:asciiTheme="minorEastAsia" w:hAnsiTheme="minorEastAsia" w:eastAsiaTheme="minorEastAsia" w:cstheme="minorEastAsia"/>
          <w:highlight w:val="none"/>
          <w:lang w:val="en-US" w:eastAsia="zh-CN"/>
        </w:rPr>
        <w:t>内任意1个月</w:t>
      </w:r>
      <w:r>
        <w:rPr>
          <w:rFonts w:hint="eastAsia" w:asciiTheme="minorEastAsia" w:hAnsiTheme="minorEastAsia" w:eastAsiaTheme="minorEastAsia" w:cstheme="minorEastAsia"/>
          <w:sz w:val="21"/>
          <w:szCs w:val="21"/>
          <w:highlight w:val="none"/>
        </w:rPr>
        <w:t>（不含截标当月）</w:t>
      </w:r>
      <w:r>
        <w:rPr>
          <w:rFonts w:hint="eastAsia" w:asciiTheme="minorEastAsia" w:hAnsiTheme="minorEastAsia" w:eastAsiaTheme="minorEastAsia" w:cstheme="minorEastAsia"/>
          <w:highlight w:val="none"/>
          <w:lang w:val="en-US"/>
        </w:rPr>
        <w:t>为其</w:t>
      </w:r>
      <w:r>
        <w:rPr>
          <w:rFonts w:hint="eastAsia" w:asciiTheme="minorEastAsia" w:hAnsiTheme="minorEastAsia" w:eastAsiaTheme="minorEastAsia" w:cstheme="minorEastAsia"/>
          <w:highlight w:val="none"/>
        </w:rPr>
        <w:t>缴纳的社保</w:t>
      </w:r>
      <w:r>
        <w:rPr>
          <w:rFonts w:hint="eastAsia" w:asciiTheme="minorEastAsia" w:hAnsiTheme="minorEastAsia" w:eastAsiaTheme="minorEastAsia" w:cstheme="minorEastAsia"/>
          <w:highlight w:val="none"/>
          <w:lang w:val="en-US"/>
        </w:rPr>
        <w:t>证明材料</w:t>
      </w:r>
      <w:r>
        <w:rPr>
          <w:rFonts w:hint="eastAsia" w:asciiTheme="minorEastAsia" w:hAnsiTheme="minorEastAsia" w:eastAsiaTheme="minorEastAsia" w:cstheme="minorEastAsia"/>
          <w:highlight w:val="none"/>
          <w:lang w:val="en-US" w:eastAsia="zh-CN"/>
        </w:rPr>
        <w:t>复印件</w:t>
      </w:r>
      <w:r>
        <w:rPr>
          <w:rFonts w:hint="eastAsia" w:asciiTheme="minorEastAsia" w:hAnsiTheme="minorEastAsia" w:eastAsiaTheme="minorEastAsia" w:cstheme="minorEastAsia"/>
          <w:sz w:val="21"/>
          <w:szCs w:val="21"/>
          <w:highlight w:val="none"/>
          <w:lang w:val="en-US"/>
        </w:rPr>
        <w:t>或劳动合同</w:t>
      </w:r>
      <w:r>
        <w:rPr>
          <w:rFonts w:hint="eastAsia" w:asciiTheme="minorEastAsia" w:hAnsiTheme="minorEastAsia" w:eastAsiaTheme="minorEastAsia" w:cstheme="minorEastAsia"/>
          <w:sz w:val="21"/>
          <w:szCs w:val="21"/>
          <w:highlight w:val="none"/>
          <w:lang w:val="en-US" w:eastAsia="zh-CN"/>
        </w:rPr>
        <w:t>复印件</w:t>
      </w:r>
      <w:r>
        <w:rPr>
          <w:rFonts w:ascii="Times New Roman" w:hAnsi="Times New Roman" w:eastAsia="宋体" w:cs="Times New Roman"/>
          <w:kern w:val="0"/>
          <w:highlight w:val="none"/>
        </w:rPr>
        <w:t>并加盖公章</w:t>
      </w:r>
      <w:r>
        <w:rPr>
          <w:rFonts w:ascii="Times New Roman" w:hAnsi="Times New Roman" w:eastAsia="宋体" w:cs="Times New Roman"/>
          <w:kern w:val="0"/>
          <w:highlight w:val="none"/>
        </w:rPr>
        <w:t>）</w:t>
      </w:r>
      <w:r>
        <w:rPr>
          <w:rFonts w:ascii="Times New Roman" w:hAnsi="Times New Roman" w:eastAsia="宋体" w:cs="Times New Roman"/>
          <w:highlight w:val="none"/>
        </w:rPr>
        <w:t>。</w:t>
      </w:r>
    </w:p>
    <w:p w14:paraId="0455CB0E">
      <w:pPr>
        <w:spacing w:line="400" w:lineRule="exact"/>
        <w:rPr>
          <w:highlight w:val="none"/>
        </w:rPr>
      </w:pPr>
    </w:p>
    <w:p w14:paraId="18A55A11">
      <w:pPr>
        <w:spacing w:line="400" w:lineRule="exact"/>
        <w:rPr>
          <w:highlight w:val="none"/>
        </w:rPr>
      </w:pPr>
      <w:r>
        <w:rPr>
          <w:rFonts w:hint="eastAsia"/>
          <w:highlight w:val="none"/>
        </w:rPr>
        <w:t>投标人</w:t>
      </w:r>
      <w:r>
        <w:rPr>
          <w:highlight w:val="none"/>
        </w:rPr>
        <w:t>（公章）</w:t>
      </w:r>
      <w:r>
        <w:rPr>
          <w:rFonts w:hint="eastAsia"/>
          <w:highlight w:val="none"/>
        </w:rPr>
        <w:t>：</w:t>
      </w:r>
    </w:p>
    <w:p w14:paraId="1EE5F31F">
      <w:pPr>
        <w:spacing w:line="400" w:lineRule="exact"/>
        <w:rPr>
          <w:highlight w:val="none"/>
          <w:u w:val="single"/>
        </w:rPr>
      </w:pPr>
      <w:r>
        <w:rPr>
          <w:highlight w:val="none"/>
        </w:rPr>
        <w:t>法定代表人或委托代理人</w:t>
      </w:r>
      <w:r>
        <w:rPr>
          <w:rFonts w:hint="eastAsia"/>
          <w:highlight w:val="none"/>
        </w:rPr>
        <w:t>（</w:t>
      </w:r>
      <w:r>
        <w:rPr>
          <w:highlight w:val="none"/>
        </w:rPr>
        <w:t>签字或签章）</w:t>
      </w:r>
      <w:r>
        <w:rPr>
          <w:rFonts w:hint="eastAsia"/>
          <w:highlight w:val="none"/>
        </w:rPr>
        <w:t>：</w:t>
      </w:r>
    </w:p>
    <w:p w14:paraId="3380CD55">
      <w:pPr>
        <w:pStyle w:val="20"/>
        <w:spacing w:line="400" w:lineRule="exact"/>
        <w:ind w:firstLine="0"/>
        <w:rPr>
          <w:highlight w:val="none"/>
        </w:rPr>
      </w:pPr>
      <w:r>
        <w:rPr>
          <w:highlight w:val="none"/>
        </w:rPr>
        <w:t>日期</w:t>
      </w:r>
      <w:r>
        <w:rPr>
          <w:rFonts w:hint="eastAsia"/>
          <w:highlight w:val="none"/>
        </w:rPr>
        <w:t>：</w:t>
      </w:r>
    </w:p>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14:paraId="5CD9CD61">
      <w:pPr>
        <w:rPr>
          <w:b/>
          <w:highlight w:val="none"/>
        </w:rPr>
      </w:pPr>
      <w:r>
        <w:rPr>
          <w:b/>
          <w:highlight w:val="none"/>
        </w:rPr>
        <w:br w:type="page"/>
      </w:r>
      <w:r>
        <w:rPr>
          <w:b/>
          <w:highlight w:val="none"/>
        </w:rPr>
        <w:t>附件8、</w:t>
      </w:r>
      <w:r>
        <w:rPr>
          <w:rFonts w:hint="eastAsia"/>
          <w:b/>
          <w:highlight w:val="none"/>
        </w:rPr>
        <w:t>投标人</w:t>
      </w:r>
      <w:r>
        <w:rPr>
          <w:b/>
          <w:highlight w:val="none"/>
        </w:rPr>
        <w:t>退还履约保证金模板（磋商时无需提供，退款时提供，由需求部门递交至集采办进行相应退款）</w:t>
      </w:r>
    </w:p>
    <w:p w14:paraId="78FD381D">
      <w:pPr>
        <w:spacing w:line="640" w:lineRule="exact"/>
        <w:jc w:val="center"/>
        <w:rPr>
          <w:rFonts w:eastAsia="小标宋"/>
          <w:bCs/>
          <w:sz w:val="44"/>
          <w:szCs w:val="44"/>
          <w:highlight w:val="none"/>
        </w:rPr>
      </w:pPr>
      <w:r>
        <w:rPr>
          <w:rFonts w:eastAsia="小标宋"/>
          <w:bCs/>
          <w:sz w:val="44"/>
          <w:szCs w:val="44"/>
          <w:highlight w:val="none"/>
        </w:rPr>
        <w:t>退款申请</w:t>
      </w:r>
    </w:p>
    <w:p w14:paraId="04C6F5EF">
      <w:pPr>
        <w:spacing w:line="586" w:lineRule="exact"/>
        <w:ind w:firstLine="640" w:firstLineChars="200"/>
        <w:jc w:val="center"/>
        <w:rPr>
          <w:rFonts w:eastAsia="仿宋_GB2312"/>
          <w:sz w:val="32"/>
          <w:szCs w:val="32"/>
          <w:highlight w:val="none"/>
        </w:rPr>
      </w:pPr>
    </w:p>
    <w:p w14:paraId="7BA9732C">
      <w:pPr>
        <w:spacing w:line="586" w:lineRule="exact"/>
        <w:rPr>
          <w:rFonts w:eastAsia="仿宋_GB2312"/>
          <w:sz w:val="32"/>
          <w:szCs w:val="32"/>
          <w:highlight w:val="none"/>
        </w:rPr>
      </w:pPr>
      <w:r>
        <w:rPr>
          <w:rFonts w:eastAsia="仿宋_GB2312"/>
          <w:sz w:val="32"/>
          <w:szCs w:val="32"/>
          <w:highlight w:val="none"/>
        </w:rPr>
        <w:t>桂林银行股份有限公司：</w:t>
      </w:r>
    </w:p>
    <w:p w14:paraId="7C54F05F">
      <w:pPr>
        <w:spacing w:line="586" w:lineRule="exact"/>
        <w:ind w:firstLine="640" w:firstLineChars="200"/>
        <w:rPr>
          <w:rFonts w:eastAsia="仿宋_GB2312"/>
          <w:sz w:val="32"/>
          <w:szCs w:val="32"/>
          <w:highlight w:val="none"/>
        </w:rPr>
      </w:pPr>
      <w:r>
        <w:rPr>
          <w:rFonts w:eastAsia="仿宋_GB2312"/>
          <w:sz w:val="32"/>
          <w:szCs w:val="32"/>
          <w:highlight w:val="none"/>
        </w:rPr>
        <w:t>我</w:t>
      </w:r>
      <w:r>
        <w:rPr>
          <w:rFonts w:hint="eastAsia" w:eastAsia="仿宋_GB2312"/>
          <w:sz w:val="32"/>
          <w:szCs w:val="32"/>
          <w:highlight w:val="none"/>
        </w:rPr>
        <w:t>公</w:t>
      </w:r>
      <w:r>
        <w:rPr>
          <w:rFonts w:eastAsia="仿宋_GB2312"/>
          <w:sz w:val="32"/>
          <w:szCs w:val="32"/>
          <w:highlight w:val="none"/>
        </w:rPr>
        <w:t>司</w:t>
      </w:r>
      <w:r>
        <w:rPr>
          <w:rFonts w:hint="eastAsia" w:eastAsia="仿宋_GB2312"/>
          <w:sz w:val="32"/>
          <w:szCs w:val="32"/>
          <w:highlight w:val="none"/>
        </w:rPr>
        <w:t>（单位）</w:t>
      </w:r>
      <w:r>
        <w:rPr>
          <w:rFonts w:eastAsia="仿宋_GB2312"/>
          <w:sz w:val="32"/>
          <w:szCs w:val="32"/>
          <w:highlight w:val="none"/>
        </w:rPr>
        <w:t>于202</w:t>
      </w:r>
      <w:r>
        <w:rPr>
          <w:rFonts w:hint="eastAsia" w:eastAsia="仿宋_GB2312"/>
          <w:sz w:val="32"/>
          <w:szCs w:val="32"/>
          <w:highlight w:val="none"/>
        </w:rPr>
        <w:t>5</w:t>
      </w:r>
      <w:r>
        <w:rPr>
          <w:rFonts w:eastAsia="仿宋_GB2312"/>
          <w:sz w:val="32"/>
          <w:szCs w:val="32"/>
          <w:highlight w:val="none"/>
        </w:rPr>
        <w:t>年</w:t>
      </w:r>
      <w:r>
        <w:rPr>
          <w:rFonts w:hint="eastAsia" w:eastAsia="仿宋_GB2312"/>
          <w:sz w:val="32"/>
          <w:szCs w:val="32"/>
          <w:highlight w:val="none"/>
        </w:rPr>
        <w:t>1</w:t>
      </w:r>
      <w:r>
        <w:rPr>
          <w:rFonts w:hint="eastAsia" w:eastAsia="仿宋_GB2312"/>
          <w:sz w:val="32"/>
          <w:szCs w:val="32"/>
          <w:highlight w:val="none"/>
          <w:lang w:val="en-US" w:eastAsia="zh-CN"/>
        </w:rPr>
        <w:t>1</w:t>
      </w:r>
      <w:r>
        <w:rPr>
          <w:rFonts w:eastAsia="仿宋_GB2312"/>
          <w:sz w:val="32"/>
          <w:szCs w:val="32"/>
          <w:highlight w:val="none"/>
        </w:rPr>
        <w:t>月</w:t>
      </w:r>
      <w:r>
        <w:rPr>
          <w:rFonts w:hint="eastAsia" w:eastAsia="仿宋_GB2312"/>
          <w:sz w:val="32"/>
          <w:szCs w:val="32"/>
          <w:highlight w:val="none"/>
          <w:lang w:val="en-US" w:eastAsia="zh-CN"/>
        </w:rPr>
        <w:t>14</w:t>
      </w:r>
      <w:r>
        <w:rPr>
          <w:rFonts w:eastAsia="仿宋_GB2312"/>
          <w:sz w:val="32"/>
          <w:szCs w:val="32"/>
          <w:highlight w:val="none"/>
        </w:rPr>
        <w:t>日参加贵行</w:t>
      </w:r>
      <w:r>
        <w:rPr>
          <w:rFonts w:hint="eastAsia" w:eastAsia="仿宋_GB2312"/>
          <w:sz w:val="32"/>
          <w:szCs w:val="32"/>
          <w:highlight w:val="none"/>
        </w:rPr>
        <w:t>采购大模型AI智能体开发项目</w:t>
      </w:r>
      <w:r>
        <w:rPr>
          <w:rFonts w:eastAsia="仿宋_GB2312"/>
          <w:sz w:val="32"/>
          <w:szCs w:val="32"/>
          <w:highlight w:val="none"/>
        </w:rPr>
        <w:t>（编号：</w:t>
      </w:r>
      <w:r>
        <w:rPr>
          <w:rFonts w:hint="eastAsia" w:eastAsia="仿宋_GB2312"/>
          <w:sz w:val="32"/>
          <w:szCs w:val="32"/>
          <w:highlight w:val="none"/>
        </w:rPr>
        <w:t>GYJC20251</w:t>
      </w:r>
      <w:r>
        <w:rPr>
          <w:rFonts w:hint="eastAsia" w:eastAsia="仿宋_GB2312"/>
          <w:sz w:val="32"/>
          <w:szCs w:val="32"/>
          <w:highlight w:val="none"/>
          <w:lang w:val="en-US" w:eastAsia="zh-CN"/>
        </w:rPr>
        <w:t>14</w:t>
      </w:r>
      <w:r>
        <w:rPr>
          <w:rFonts w:eastAsia="仿宋_GB2312"/>
          <w:sz w:val="32"/>
          <w:szCs w:val="32"/>
          <w:highlight w:val="none"/>
        </w:rPr>
        <w:t>）磋商，该项目由我公司</w:t>
      </w:r>
      <w:r>
        <w:rPr>
          <w:rFonts w:hint="eastAsia" w:eastAsia="仿宋_GB2312"/>
          <w:sz w:val="32"/>
          <w:szCs w:val="32"/>
          <w:highlight w:val="none"/>
        </w:rPr>
        <w:t>（单位）</w:t>
      </w:r>
      <w:r>
        <w:rPr>
          <w:rFonts w:eastAsia="仿宋_GB2312"/>
          <w:sz w:val="32"/>
          <w:szCs w:val="32"/>
          <w:highlight w:val="none"/>
        </w:rPr>
        <w:t>中标，现合同已履行完毕，申请退回我</w:t>
      </w:r>
      <w:r>
        <w:rPr>
          <w:rFonts w:hint="eastAsia" w:eastAsia="仿宋_GB2312"/>
          <w:sz w:val="32"/>
          <w:szCs w:val="32"/>
          <w:highlight w:val="none"/>
        </w:rPr>
        <w:t>公</w:t>
      </w:r>
      <w:r>
        <w:rPr>
          <w:rFonts w:eastAsia="仿宋_GB2312"/>
          <w:sz w:val="32"/>
          <w:szCs w:val="32"/>
          <w:highlight w:val="none"/>
        </w:rPr>
        <w:t>司</w:t>
      </w:r>
      <w:r>
        <w:rPr>
          <w:rFonts w:hint="eastAsia" w:eastAsia="仿宋_GB2312"/>
          <w:sz w:val="32"/>
          <w:szCs w:val="32"/>
          <w:highlight w:val="none"/>
        </w:rPr>
        <w:t>（单位）履约</w:t>
      </w:r>
      <w:r>
        <w:rPr>
          <w:rFonts w:eastAsia="仿宋_GB2312"/>
          <w:sz w:val="32"/>
          <w:szCs w:val="32"/>
          <w:highlight w:val="none"/>
        </w:rPr>
        <w:t>保证金。</w:t>
      </w:r>
    </w:p>
    <w:p w14:paraId="5AFFC233">
      <w:pPr>
        <w:spacing w:line="586" w:lineRule="exact"/>
        <w:ind w:firstLine="640" w:firstLineChars="200"/>
        <w:rPr>
          <w:rFonts w:eastAsia="仿宋_GB2312"/>
          <w:sz w:val="32"/>
          <w:szCs w:val="32"/>
          <w:highlight w:val="none"/>
        </w:rPr>
      </w:pPr>
      <w:r>
        <w:rPr>
          <w:rFonts w:eastAsia="仿宋_GB2312"/>
          <w:sz w:val="32"/>
          <w:szCs w:val="32"/>
          <w:highlight w:val="none"/>
        </w:rPr>
        <w:t>开户名：</w:t>
      </w:r>
      <w:r>
        <w:rPr>
          <w:rFonts w:hint="eastAsia" w:eastAsia="仿宋_GB2312"/>
          <w:sz w:val="32"/>
          <w:szCs w:val="32"/>
          <w:highlight w:val="none"/>
        </w:rPr>
        <w:t>XXXX</w:t>
      </w:r>
      <w:r>
        <w:rPr>
          <w:rFonts w:eastAsia="仿宋_GB2312"/>
          <w:sz w:val="32"/>
          <w:szCs w:val="32"/>
          <w:highlight w:val="none"/>
        </w:rPr>
        <w:t>有限公司</w:t>
      </w:r>
    </w:p>
    <w:p w14:paraId="6BA416FE">
      <w:pPr>
        <w:spacing w:line="586" w:lineRule="exact"/>
        <w:ind w:firstLine="640" w:firstLineChars="200"/>
        <w:rPr>
          <w:rFonts w:eastAsia="仿宋_GB2312"/>
          <w:sz w:val="32"/>
          <w:szCs w:val="32"/>
          <w:highlight w:val="none"/>
        </w:rPr>
      </w:pPr>
      <w:r>
        <w:rPr>
          <w:rFonts w:eastAsia="仿宋_GB2312"/>
          <w:sz w:val="32"/>
          <w:szCs w:val="32"/>
          <w:highlight w:val="none"/>
        </w:rPr>
        <w:t>开户银行：</w:t>
      </w:r>
      <w:r>
        <w:rPr>
          <w:rFonts w:hint="eastAsia" w:eastAsia="仿宋_GB2312"/>
          <w:sz w:val="32"/>
          <w:szCs w:val="32"/>
          <w:highlight w:val="none"/>
        </w:rPr>
        <w:t>XXXX</w:t>
      </w:r>
      <w:r>
        <w:rPr>
          <w:rFonts w:eastAsia="仿宋_GB2312"/>
          <w:sz w:val="32"/>
          <w:szCs w:val="32"/>
          <w:highlight w:val="none"/>
        </w:rPr>
        <w:t>支行</w:t>
      </w:r>
    </w:p>
    <w:p w14:paraId="4015C701">
      <w:pPr>
        <w:spacing w:line="586" w:lineRule="exact"/>
        <w:ind w:firstLine="640" w:firstLineChars="200"/>
        <w:rPr>
          <w:rFonts w:eastAsia="仿宋_GB2312"/>
          <w:sz w:val="32"/>
          <w:szCs w:val="32"/>
          <w:highlight w:val="none"/>
        </w:rPr>
      </w:pPr>
      <w:r>
        <w:rPr>
          <w:rFonts w:eastAsia="仿宋_GB2312"/>
          <w:sz w:val="32"/>
          <w:szCs w:val="32"/>
          <w:highlight w:val="none"/>
        </w:rPr>
        <w:t>银行帐号：</w:t>
      </w:r>
      <w:r>
        <w:rPr>
          <w:rFonts w:hint="eastAsia" w:eastAsia="仿宋_GB2312"/>
          <w:sz w:val="32"/>
          <w:szCs w:val="32"/>
          <w:highlight w:val="none"/>
        </w:rPr>
        <w:t>XXXX</w:t>
      </w:r>
    </w:p>
    <w:p w14:paraId="2C43644C">
      <w:pPr>
        <w:spacing w:line="586" w:lineRule="exact"/>
        <w:ind w:firstLine="640" w:firstLineChars="200"/>
        <w:rPr>
          <w:rFonts w:eastAsia="仿宋_GB2312"/>
          <w:sz w:val="32"/>
          <w:szCs w:val="32"/>
          <w:highlight w:val="none"/>
        </w:rPr>
      </w:pPr>
      <w:r>
        <w:rPr>
          <w:rFonts w:eastAsia="仿宋_GB2312"/>
          <w:sz w:val="32"/>
          <w:szCs w:val="32"/>
          <w:highlight w:val="none"/>
        </w:rPr>
        <w:t>保证金金额：</w:t>
      </w:r>
      <w:r>
        <w:rPr>
          <w:rFonts w:hint="eastAsia" w:eastAsia="仿宋_GB2312"/>
          <w:sz w:val="32"/>
          <w:szCs w:val="32"/>
          <w:highlight w:val="none"/>
        </w:rPr>
        <w:t>XXXX</w:t>
      </w:r>
      <w:r>
        <w:rPr>
          <w:rFonts w:eastAsia="仿宋_GB2312"/>
          <w:sz w:val="32"/>
          <w:szCs w:val="32"/>
          <w:highlight w:val="none"/>
        </w:rPr>
        <w:t>元整（</w:t>
      </w:r>
      <w:r>
        <w:rPr>
          <w:rFonts w:ascii="Arial" w:hAnsi="Arial" w:eastAsia="仿宋_GB2312" w:cs="Arial"/>
          <w:sz w:val="32"/>
          <w:szCs w:val="32"/>
          <w:highlight w:val="none"/>
        </w:rPr>
        <w:t>¥</w:t>
      </w:r>
      <w:r>
        <w:rPr>
          <w:rFonts w:hint="eastAsia" w:eastAsia="仿宋_GB2312"/>
          <w:sz w:val="32"/>
          <w:szCs w:val="32"/>
          <w:highlight w:val="none"/>
        </w:rPr>
        <w:t>XX.00</w:t>
      </w:r>
      <w:r>
        <w:rPr>
          <w:rFonts w:eastAsia="仿宋_GB2312"/>
          <w:sz w:val="32"/>
          <w:szCs w:val="32"/>
          <w:highlight w:val="none"/>
        </w:rPr>
        <w:t>）</w:t>
      </w:r>
    </w:p>
    <w:p w14:paraId="6B255DA4">
      <w:pPr>
        <w:spacing w:line="586" w:lineRule="exact"/>
        <w:ind w:firstLine="640" w:firstLineChars="200"/>
        <w:rPr>
          <w:rFonts w:eastAsia="仿宋_GB2312"/>
          <w:sz w:val="32"/>
          <w:szCs w:val="32"/>
          <w:highlight w:val="none"/>
        </w:rPr>
      </w:pPr>
      <w:r>
        <w:rPr>
          <w:rFonts w:eastAsia="仿宋_GB2312"/>
          <w:sz w:val="32"/>
          <w:szCs w:val="32"/>
          <w:highlight w:val="none"/>
        </w:rPr>
        <w:t>纳税人识别号：</w:t>
      </w:r>
    </w:p>
    <w:p w14:paraId="005BF038">
      <w:pPr>
        <w:spacing w:line="586" w:lineRule="exact"/>
        <w:ind w:firstLine="640" w:firstLineChars="200"/>
        <w:rPr>
          <w:rFonts w:eastAsia="仿宋_GB2312"/>
          <w:sz w:val="32"/>
          <w:szCs w:val="32"/>
          <w:highlight w:val="none"/>
        </w:rPr>
      </w:pPr>
    </w:p>
    <w:p w14:paraId="71B462BD">
      <w:pPr>
        <w:wordWrap w:val="0"/>
        <w:spacing w:line="586" w:lineRule="exact"/>
        <w:ind w:firstLine="640" w:firstLineChars="200"/>
        <w:jc w:val="right"/>
        <w:rPr>
          <w:rFonts w:eastAsia="仿宋_GB2312"/>
          <w:sz w:val="32"/>
          <w:szCs w:val="32"/>
          <w:highlight w:val="none"/>
        </w:rPr>
      </w:pPr>
      <w:r>
        <w:rPr>
          <w:rFonts w:eastAsia="仿宋_GB2312"/>
          <w:sz w:val="32"/>
          <w:szCs w:val="32"/>
          <w:highlight w:val="none"/>
        </w:rPr>
        <w:t xml:space="preserve">                                </w:t>
      </w:r>
      <w:r>
        <w:rPr>
          <w:rFonts w:hint="eastAsia" w:eastAsia="仿宋_GB2312"/>
          <w:sz w:val="32"/>
          <w:szCs w:val="32"/>
          <w:highlight w:val="none"/>
        </w:rPr>
        <w:t>XXXX</w:t>
      </w:r>
      <w:r>
        <w:rPr>
          <w:rFonts w:eastAsia="仿宋_GB2312"/>
          <w:sz w:val="32"/>
          <w:szCs w:val="32"/>
          <w:highlight w:val="none"/>
        </w:rPr>
        <w:t>公司</w:t>
      </w:r>
      <w:r>
        <w:rPr>
          <w:rFonts w:hint="eastAsia" w:eastAsia="仿宋_GB2312"/>
          <w:sz w:val="32"/>
          <w:szCs w:val="32"/>
          <w:highlight w:val="none"/>
        </w:rPr>
        <w:t xml:space="preserve">（公章）  </w:t>
      </w:r>
    </w:p>
    <w:p w14:paraId="230AFCE4">
      <w:pPr>
        <w:wordWrap w:val="0"/>
        <w:spacing w:line="586" w:lineRule="exact"/>
        <w:ind w:firstLine="640" w:firstLineChars="200"/>
        <w:jc w:val="right"/>
        <w:rPr>
          <w:rFonts w:eastAsia="仿宋_GB2312"/>
          <w:sz w:val="32"/>
          <w:szCs w:val="32"/>
          <w:highlight w:val="none"/>
        </w:rPr>
      </w:pPr>
      <w:r>
        <w:rPr>
          <w:rFonts w:eastAsia="仿宋_GB2312"/>
          <w:sz w:val="32"/>
          <w:szCs w:val="32"/>
          <w:highlight w:val="none"/>
        </w:rPr>
        <w:t xml:space="preserve"> 202</w:t>
      </w:r>
      <w:r>
        <w:rPr>
          <w:rFonts w:hint="eastAsia" w:eastAsia="仿宋_GB2312"/>
          <w:sz w:val="32"/>
          <w:szCs w:val="32"/>
          <w:highlight w:val="none"/>
        </w:rPr>
        <w:t>X</w:t>
      </w:r>
      <w:r>
        <w:rPr>
          <w:rFonts w:eastAsia="仿宋_GB2312"/>
          <w:sz w:val="32"/>
          <w:szCs w:val="32"/>
          <w:highlight w:val="none"/>
        </w:rPr>
        <w:t>年</w:t>
      </w:r>
      <w:r>
        <w:rPr>
          <w:rFonts w:hint="eastAsia" w:eastAsia="仿宋_GB2312"/>
          <w:sz w:val="32"/>
          <w:szCs w:val="32"/>
          <w:highlight w:val="none"/>
        </w:rPr>
        <w:t>XX</w:t>
      </w:r>
      <w:r>
        <w:rPr>
          <w:rFonts w:eastAsia="仿宋_GB2312"/>
          <w:sz w:val="32"/>
          <w:szCs w:val="32"/>
          <w:highlight w:val="none"/>
        </w:rPr>
        <w:t>月</w:t>
      </w:r>
      <w:r>
        <w:rPr>
          <w:rFonts w:hint="eastAsia" w:eastAsia="仿宋_GB2312"/>
          <w:sz w:val="32"/>
          <w:szCs w:val="32"/>
          <w:highlight w:val="none"/>
        </w:rPr>
        <w:t>XX</w:t>
      </w:r>
      <w:r>
        <w:rPr>
          <w:rFonts w:eastAsia="仿宋_GB2312"/>
          <w:sz w:val="32"/>
          <w:szCs w:val="32"/>
          <w:highlight w:val="none"/>
        </w:rPr>
        <w:t>日</w:t>
      </w:r>
      <w:r>
        <w:rPr>
          <w:rFonts w:hint="eastAsia" w:eastAsia="仿宋_GB2312"/>
          <w:sz w:val="32"/>
          <w:szCs w:val="32"/>
          <w:highlight w:val="none"/>
        </w:rPr>
        <w:t xml:space="preserve">    </w:t>
      </w:r>
    </w:p>
    <w:p w14:paraId="1D0A2B90">
      <w:pPr>
        <w:spacing w:line="586" w:lineRule="exact"/>
        <w:ind w:firstLine="640" w:firstLineChars="200"/>
        <w:rPr>
          <w:rFonts w:eastAsia="仿宋_GB2312"/>
          <w:sz w:val="32"/>
          <w:szCs w:val="32"/>
          <w:highlight w:val="none"/>
        </w:rPr>
      </w:pPr>
    </w:p>
    <w:p w14:paraId="5F83E7A7">
      <w:pPr>
        <w:spacing w:line="586" w:lineRule="exact"/>
        <w:ind w:firstLine="420" w:firstLineChars="200"/>
        <w:rPr>
          <w:rFonts w:eastAsia="仿宋_GB2312"/>
          <w:highlight w:val="none"/>
        </w:rPr>
      </w:pPr>
      <w:r>
        <w:rPr>
          <w:rFonts w:eastAsia="仿宋_GB2312"/>
          <w:highlight w:val="none"/>
        </w:rPr>
        <w:t>附件：退款申请、合同</w:t>
      </w:r>
      <w:r>
        <w:rPr>
          <w:rFonts w:hint="eastAsia" w:eastAsia="仿宋_GB2312"/>
          <w:highlight w:val="none"/>
        </w:rPr>
        <w:t>扫描件</w:t>
      </w:r>
      <w:r>
        <w:rPr>
          <w:rFonts w:eastAsia="仿宋_GB2312"/>
          <w:highlight w:val="none"/>
        </w:rPr>
        <w:t>、验收报告</w:t>
      </w:r>
      <w:r>
        <w:rPr>
          <w:rFonts w:hint="eastAsia" w:eastAsia="仿宋_GB2312"/>
          <w:highlight w:val="none"/>
        </w:rPr>
        <w:t>扫描件</w:t>
      </w:r>
      <w:r>
        <w:rPr>
          <w:rFonts w:eastAsia="仿宋_GB2312"/>
          <w:highlight w:val="none"/>
        </w:rPr>
        <w:t>、履约评价</w:t>
      </w:r>
      <w:r>
        <w:rPr>
          <w:rFonts w:hint="eastAsia" w:eastAsia="仿宋_GB2312"/>
          <w:highlight w:val="none"/>
        </w:rPr>
        <w:t>扫描件</w:t>
      </w:r>
      <w:r>
        <w:rPr>
          <w:rFonts w:eastAsia="仿宋_GB2312"/>
          <w:highlight w:val="none"/>
        </w:rPr>
        <w:t>、保证金汇款凭证</w:t>
      </w:r>
      <w:r>
        <w:rPr>
          <w:rFonts w:hint="eastAsia" w:eastAsia="仿宋_GB2312"/>
          <w:highlight w:val="none"/>
        </w:rPr>
        <w:t>扫描件</w:t>
      </w:r>
    </w:p>
    <w:p w14:paraId="15B137DA">
      <w:pPr>
        <w:pStyle w:val="50"/>
        <w:rPr>
          <w:rFonts w:eastAsia="仿宋_GB2312"/>
          <w:highlight w:val="none"/>
        </w:rPr>
      </w:pPr>
    </w:p>
    <w:p w14:paraId="5C9E71B0">
      <w:pPr>
        <w:pStyle w:val="50"/>
        <w:rPr>
          <w:rFonts w:eastAsia="仿宋_GB2312"/>
          <w:highlight w:val="none"/>
        </w:rPr>
      </w:pPr>
      <w:r>
        <w:rPr>
          <w:rFonts w:hint="eastAsia" w:eastAsia="仿宋_GB2312"/>
          <w:b/>
          <w:bCs w:val="0"/>
          <w:spacing w:val="0"/>
          <w:highlight w:val="none"/>
        </w:rPr>
        <w:t>注：</w:t>
      </w:r>
      <w:r>
        <w:rPr>
          <w:rFonts w:hint="eastAsia" w:eastAsia="仿宋_GB2312"/>
          <w:spacing w:val="0"/>
          <w:highlight w:val="none"/>
        </w:rPr>
        <w:t>该退款申请按照合同约定退款时间时提供，投标时无须提供。</w:t>
      </w:r>
    </w:p>
    <w:p w14:paraId="71B75B22">
      <w:pPr>
        <w:pStyle w:val="4"/>
        <w:spacing w:line="586" w:lineRule="exact"/>
        <w:ind w:firstLine="640" w:firstLineChars="200"/>
        <w:rPr>
          <w:rFonts w:eastAsia="仿宋_GB2312"/>
          <w:sz w:val="32"/>
          <w:szCs w:val="32"/>
          <w:highlight w:val="none"/>
        </w:rPr>
      </w:pPr>
    </w:p>
    <w:p w14:paraId="30FA26FF">
      <w:pPr>
        <w:pStyle w:val="4"/>
        <w:spacing w:line="586" w:lineRule="exact"/>
        <w:ind w:firstLine="640" w:firstLineChars="200"/>
        <w:rPr>
          <w:rFonts w:eastAsia="仿宋_GB2312"/>
          <w:sz w:val="32"/>
          <w:szCs w:val="32"/>
          <w:highlight w:val="none"/>
        </w:rPr>
      </w:pPr>
    </w:p>
    <w:p w14:paraId="2D459310">
      <w:pPr>
        <w:pStyle w:val="28"/>
        <w:autoSpaceDE w:val="0"/>
        <w:spacing w:line="400" w:lineRule="exact"/>
        <w:ind w:firstLine="420" w:firstLineChars="200"/>
        <w:rPr>
          <w:rFonts w:ascii="Times New Roman" w:hAnsi="Times New Roman" w:eastAsia="宋体" w:cs="Times New Roman"/>
          <w:highlight w:val="none"/>
        </w:rPr>
        <w:sectPr>
          <w:pgSz w:w="11905" w:h="16838"/>
          <w:pgMar w:top="1417" w:right="1361" w:bottom="1417" w:left="1361" w:header="850" w:footer="992" w:gutter="0"/>
          <w:cols w:space="0" w:num="1"/>
          <w:rtlGutter w:val="0"/>
          <w:docGrid w:type="lines" w:linePitch="312" w:charSpace="0"/>
        </w:sectPr>
      </w:pPr>
    </w:p>
    <w:p w14:paraId="371D27C6">
      <w:pPr>
        <w:pStyle w:val="28"/>
        <w:autoSpaceDE w:val="0"/>
        <w:spacing w:line="640" w:lineRule="exact"/>
        <w:jc w:val="center"/>
        <w:rPr>
          <w:rFonts w:ascii="Times New Roman" w:hAnsi="Times New Roman" w:eastAsia="小标宋" w:cs="Times New Roman"/>
          <w:sz w:val="44"/>
          <w:szCs w:val="44"/>
          <w:highlight w:val="none"/>
        </w:rPr>
      </w:pPr>
      <w:r>
        <w:rPr>
          <w:rFonts w:ascii="Times New Roman" w:hAnsi="Times New Roman" w:eastAsia="小标宋" w:cs="Times New Roman"/>
          <w:sz w:val="44"/>
          <w:szCs w:val="44"/>
          <w:highlight w:val="none"/>
        </w:rPr>
        <w:t>最终报价表</w:t>
      </w:r>
    </w:p>
    <w:p w14:paraId="4E0F51B9">
      <w:pPr>
        <w:pStyle w:val="18"/>
        <w:spacing w:line="500" w:lineRule="exact"/>
        <w:ind w:left="0"/>
        <w:rPr>
          <w:highlight w:val="none"/>
        </w:rPr>
      </w:pPr>
    </w:p>
    <w:p w14:paraId="3CF74846">
      <w:pPr>
        <w:pStyle w:val="18"/>
        <w:spacing w:line="500" w:lineRule="exact"/>
        <w:ind w:left="0"/>
        <w:rPr>
          <w:rFonts w:eastAsia="仿宋_GB2312"/>
          <w:sz w:val="32"/>
          <w:szCs w:val="32"/>
          <w:highlight w:val="none"/>
        </w:rPr>
      </w:pPr>
      <w:r>
        <w:rPr>
          <w:rFonts w:eastAsia="仿宋_GB2312"/>
          <w:sz w:val="32"/>
          <w:szCs w:val="32"/>
          <w:highlight w:val="none"/>
        </w:rPr>
        <w:t>投标单位名称：</w:t>
      </w:r>
    </w:p>
    <w:p w14:paraId="51734CB3">
      <w:pPr>
        <w:pStyle w:val="18"/>
        <w:spacing w:line="500" w:lineRule="exact"/>
        <w:ind w:left="0"/>
        <w:rPr>
          <w:rFonts w:eastAsia="仿宋_GB2312"/>
          <w:sz w:val="32"/>
          <w:szCs w:val="32"/>
          <w:highlight w:val="none"/>
        </w:rPr>
      </w:pPr>
      <w:r>
        <w:rPr>
          <w:rFonts w:eastAsia="仿宋_GB2312"/>
          <w:sz w:val="32"/>
          <w:szCs w:val="32"/>
          <w:highlight w:val="none"/>
        </w:rPr>
        <w:t>项目名称：</w:t>
      </w:r>
      <w:r>
        <w:rPr>
          <w:rFonts w:hint="eastAsia" w:eastAsia="仿宋_GB2312"/>
          <w:sz w:val="32"/>
          <w:szCs w:val="32"/>
          <w:highlight w:val="none"/>
        </w:rPr>
        <w:t>桂林银行采购大模型AI智能体开发项目</w:t>
      </w:r>
      <w:r>
        <w:rPr>
          <w:rFonts w:eastAsia="仿宋_GB2312"/>
          <w:sz w:val="32"/>
          <w:szCs w:val="32"/>
          <w:highlight w:val="none"/>
        </w:rPr>
        <w:t xml:space="preserve"> </w:t>
      </w:r>
    </w:p>
    <w:p w14:paraId="1C70D09F">
      <w:pPr>
        <w:pStyle w:val="4"/>
        <w:spacing w:after="0" w:line="500" w:lineRule="exact"/>
        <w:rPr>
          <w:rFonts w:hint="default" w:eastAsia="仿宋_GB2312"/>
          <w:sz w:val="32"/>
          <w:szCs w:val="32"/>
          <w:highlight w:val="none"/>
          <w:lang w:val="en-US" w:eastAsia="zh-CN"/>
        </w:rPr>
      </w:pPr>
      <w:r>
        <w:rPr>
          <w:rFonts w:eastAsia="仿宋_GB2312"/>
          <w:sz w:val="32"/>
          <w:szCs w:val="32"/>
          <w:highlight w:val="none"/>
        </w:rPr>
        <w:t>项目编号：GYJC202</w:t>
      </w:r>
      <w:r>
        <w:rPr>
          <w:rFonts w:hint="eastAsia" w:eastAsia="仿宋_GB2312"/>
          <w:sz w:val="32"/>
          <w:szCs w:val="32"/>
          <w:highlight w:val="none"/>
        </w:rPr>
        <w:t>5</w:t>
      </w:r>
      <w:r>
        <w:rPr>
          <w:rFonts w:hint="eastAsia" w:eastAsia="仿宋_GB2312"/>
          <w:sz w:val="32"/>
          <w:szCs w:val="32"/>
          <w:highlight w:val="none"/>
          <w:lang w:val="en-US" w:eastAsia="zh-CN"/>
        </w:rPr>
        <w:t>114</w:t>
      </w:r>
    </w:p>
    <w:p w14:paraId="21EABC36">
      <w:pPr>
        <w:pStyle w:val="18"/>
        <w:spacing w:line="500" w:lineRule="exact"/>
        <w:ind w:left="0"/>
        <w:rPr>
          <w:rFonts w:eastAsia="仿宋_GB2312"/>
          <w:sz w:val="32"/>
          <w:szCs w:val="32"/>
          <w:highlight w:val="none"/>
        </w:rPr>
      </w:pPr>
      <w:r>
        <w:rPr>
          <w:rFonts w:eastAsia="仿宋_GB2312"/>
          <w:sz w:val="32"/>
          <w:szCs w:val="32"/>
          <w:highlight w:val="none"/>
        </w:rPr>
        <w:t>最终报价</w:t>
      </w:r>
    </w:p>
    <w:p w14:paraId="3CC14AFA">
      <w:pPr>
        <w:spacing w:line="500" w:lineRule="exact"/>
        <w:rPr>
          <w:rFonts w:eastAsia="仿宋_GB2312"/>
          <w:sz w:val="32"/>
          <w:szCs w:val="32"/>
          <w:highlight w:val="none"/>
        </w:rPr>
      </w:pPr>
      <w:r>
        <w:rPr>
          <w:rFonts w:eastAsia="仿宋_GB2312"/>
          <w:sz w:val="32"/>
          <w:szCs w:val="32"/>
          <w:highlight w:val="none"/>
        </w:rPr>
        <w:t>关于</w:t>
      </w:r>
      <w:r>
        <w:rPr>
          <w:rFonts w:hint="eastAsia" w:eastAsia="仿宋_GB2312"/>
          <w:sz w:val="32"/>
          <w:szCs w:val="32"/>
          <w:highlight w:val="none"/>
        </w:rPr>
        <w:t>桂林银行采购大模型AI智能体开发项目</w:t>
      </w:r>
      <w:r>
        <w:rPr>
          <w:rFonts w:eastAsia="仿宋_GB2312"/>
          <w:sz w:val="32"/>
          <w:szCs w:val="32"/>
          <w:highlight w:val="none"/>
        </w:rPr>
        <w:t>：</w:t>
      </w:r>
    </w:p>
    <w:p w14:paraId="6413D7DF">
      <w:pPr>
        <w:pStyle w:val="4"/>
        <w:spacing w:after="0" w:line="500" w:lineRule="exact"/>
        <w:rPr>
          <w:rFonts w:eastAsia="仿宋_GB2312"/>
          <w:sz w:val="32"/>
          <w:szCs w:val="32"/>
          <w:highlight w:val="none"/>
        </w:rPr>
      </w:pPr>
      <w:r>
        <w:rPr>
          <w:rFonts w:eastAsia="仿宋_GB2312"/>
          <w:kern w:val="0"/>
          <w:sz w:val="32"/>
          <w:szCs w:val="32"/>
          <w:highlight w:val="none"/>
        </w:rPr>
        <w:sym w:font="Wingdings 2" w:char="00A3"/>
      </w:r>
      <w:r>
        <w:rPr>
          <w:rFonts w:eastAsia="仿宋_GB2312"/>
          <w:sz w:val="32"/>
          <w:szCs w:val="32"/>
          <w:highlight w:val="none"/>
        </w:rPr>
        <w:t>1.我公司</w:t>
      </w:r>
      <w:r>
        <w:rPr>
          <w:rFonts w:hint="eastAsia" w:eastAsia="仿宋_GB2312"/>
          <w:sz w:val="32"/>
          <w:szCs w:val="32"/>
          <w:highlight w:val="none"/>
        </w:rPr>
        <w:t>（单位）</w:t>
      </w:r>
      <w:r>
        <w:rPr>
          <w:rFonts w:eastAsia="仿宋_GB2312"/>
          <w:sz w:val="32"/>
          <w:szCs w:val="32"/>
          <w:highlight w:val="none"/>
        </w:rPr>
        <w:t>最终报价与原报价一致。</w:t>
      </w:r>
    </w:p>
    <w:p w14:paraId="59DED346">
      <w:pPr>
        <w:spacing w:line="500" w:lineRule="exact"/>
        <w:rPr>
          <w:rFonts w:eastAsia="仿宋_GB2312"/>
          <w:sz w:val="32"/>
          <w:szCs w:val="32"/>
          <w:highlight w:val="none"/>
        </w:rPr>
      </w:pPr>
      <w:r>
        <w:rPr>
          <w:rFonts w:eastAsia="仿宋_GB2312"/>
          <w:kern w:val="0"/>
          <w:sz w:val="32"/>
          <w:szCs w:val="32"/>
          <w:highlight w:val="none"/>
        </w:rPr>
        <w:sym w:font="Wingdings 2" w:char="00A3"/>
      </w:r>
      <w:r>
        <w:rPr>
          <w:rFonts w:eastAsia="仿宋_GB2312"/>
          <w:sz w:val="32"/>
          <w:szCs w:val="32"/>
          <w:highlight w:val="none"/>
        </w:rPr>
        <w:t>2.我公司</w:t>
      </w:r>
      <w:r>
        <w:rPr>
          <w:rFonts w:hint="eastAsia" w:eastAsia="仿宋_GB2312"/>
          <w:sz w:val="32"/>
          <w:szCs w:val="32"/>
          <w:highlight w:val="none"/>
        </w:rPr>
        <w:t>（单位）</w:t>
      </w:r>
      <w:r>
        <w:rPr>
          <w:rFonts w:eastAsia="仿宋_GB2312"/>
          <w:sz w:val="32"/>
          <w:szCs w:val="32"/>
          <w:highlight w:val="none"/>
        </w:rPr>
        <w:t>最终报价如下：</w:t>
      </w:r>
    </w:p>
    <w:tbl>
      <w:tblPr>
        <w:tblStyle w:val="42"/>
        <w:tblW w:w="938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99"/>
        <w:gridCol w:w="1725"/>
        <w:gridCol w:w="900"/>
        <w:gridCol w:w="1575"/>
        <w:gridCol w:w="1455"/>
        <w:gridCol w:w="1319"/>
        <w:gridCol w:w="1710"/>
      </w:tblGrid>
      <w:tr w14:paraId="21036E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699" w:type="dxa"/>
            <w:shd w:val="clear" w:color="000000" w:fill="auto"/>
            <w:vAlign w:val="center"/>
          </w:tcPr>
          <w:p w14:paraId="39A14FB3">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序号</w:t>
            </w:r>
          </w:p>
        </w:tc>
        <w:tc>
          <w:tcPr>
            <w:tcW w:w="1725" w:type="dxa"/>
            <w:shd w:val="clear" w:color="000000" w:fill="auto"/>
            <w:vAlign w:val="center"/>
          </w:tcPr>
          <w:p w14:paraId="0E1303D5">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项目内容</w:t>
            </w:r>
          </w:p>
        </w:tc>
        <w:tc>
          <w:tcPr>
            <w:tcW w:w="900" w:type="dxa"/>
            <w:shd w:val="clear" w:color="000000" w:fill="auto"/>
            <w:vAlign w:val="center"/>
          </w:tcPr>
          <w:p w14:paraId="51313B77">
            <w:pPr>
              <w:widowControl/>
              <w:spacing w:line="380" w:lineRule="exact"/>
              <w:jc w:val="center"/>
              <w:rPr>
                <w:rFonts w:hint="eastAsia"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数量</w:t>
            </w:r>
          </w:p>
        </w:tc>
        <w:tc>
          <w:tcPr>
            <w:tcW w:w="1575" w:type="dxa"/>
            <w:shd w:val="clear" w:color="000000" w:fill="auto"/>
            <w:vAlign w:val="center"/>
          </w:tcPr>
          <w:p w14:paraId="488BF589">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响应</w:t>
            </w:r>
            <w:r>
              <w:rPr>
                <w:rFonts w:hint="eastAsia" w:asciiTheme="minorEastAsia" w:hAnsiTheme="minorEastAsia" w:eastAsiaTheme="minorEastAsia" w:cstheme="minorEastAsia"/>
                <w:spacing w:val="-1"/>
                <w:sz w:val="24"/>
                <w:szCs w:val="24"/>
                <w:highlight w:val="none"/>
                <w:lang w:val="en-US" w:eastAsia="zh-CN"/>
              </w:rPr>
              <w:t>单</w:t>
            </w:r>
            <w:r>
              <w:rPr>
                <w:rFonts w:hint="eastAsia" w:asciiTheme="minorEastAsia" w:hAnsiTheme="minorEastAsia" w:eastAsiaTheme="minorEastAsia" w:cstheme="minorEastAsia"/>
                <w:spacing w:val="-1"/>
                <w:sz w:val="24"/>
                <w:szCs w:val="24"/>
                <w:highlight w:val="none"/>
              </w:rPr>
              <w:t>价（元）（含税）</w:t>
            </w:r>
          </w:p>
        </w:tc>
        <w:tc>
          <w:tcPr>
            <w:tcW w:w="1455" w:type="dxa"/>
            <w:shd w:val="clear" w:color="000000" w:fill="auto"/>
            <w:vAlign w:val="center"/>
          </w:tcPr>
          <w:p w14:paraId="248BBDFE">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小计（元）（含税）</w:t>
            </w:r>
          </w:p>
        </w:tc>
        <w:tc>
          <w:tcPr>
            <w:tcW w:w="1319" w:type="dxa"/>
            <w:shd w:val="clear" w:color="000000" w:fill="auto"/>
            <w:vAlign w:val="center"/>
          </w:tcPr>
          <w:p w14:paraId="0A6AE6E7">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备注（报价说明）</w:t>
            </w:r>
          </w:p>
        </w:tc>
        <w:tc>
          <w:tcPr>
            <w:tcW w:w="1710" w:type="dxa"/>
            <w:shd w:val="clear" w:color="000000" w:fill="auto"/>
            <w:vAlign w:val="center"/>
          </w:tcPr>
          <w:p w14:paraId="51D67C2E">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最高投标单价（含税）</w:t>
            </w:r>
          </w:p>
        </w:tc>
      </w:tr>
      <w:tr w14:paraId="79EC63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699" w:type="dxa"/>
            <w:vAlign w:val="center"/>
          </w:tcPr>
          <w:p w14:paraId="1F3A464F">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1</w:t>
            </w:r>
          </w:p>
        </w:tc>
        <w:tc>
          <w:tcPr>
            <w:tcW w:w="1725" w:type="dxa"/>
            <w:vAlign w:val="center"/>
          </w:tcPr>
          <w:p w14:paraId="50DCF13F">
            <w:pPr>
              <w:pStyle w:val="5"/>
              <w:keepNext w:val="0"/>
              <w:keepLines w:val="0"/>
              <w:pageBreakBefore w:val="0"/>
              <w:kinsoku/>
              <w:wordWrap/>
              <w:overflowPunct/>
              <w:topLinePunct w:val="0"/>
              <w:bidi w:val="0"/>
              <w:snapToGrid/>
              <w:spacing w:after="0" w:line="380" w:lineRule="exact"/>
              <w:jc w:val="center"/>
              <w:textAlignment w:val="auto"/>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明确需求费用</w:t>
            </w:r>
          </w:p>
        </w:tc>
        <w:tc>
          <w:tcPr>
            <w:tcW w:w="900" w:type="dxa"/>
            <w:vAlign w:val="center"/>
          </w:tcPr>
          <w:p w14:paraId="6535CE63">
            <w:pPr>
              <w:widowControl/>
              <w:spacing w:line="380" w:lineRule="exact"/>
              <w:jc w:val="center"/>
              <w:rPr>
                <w:rFonts w:hint="eastAsia"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1</w:t>
            </w:r>
          </w:p>
        </w:tc>
        <w:tc>
          <w:tcPr>
            <w:tcW w:w="1575" w:type="dxa"/>
            <w:vAlign w:val="center"/>
          </w:tcPr>
          <w:p w14:paraId="5A59694D">
            <w:pPr>
              <w:widowControl/>
              <w:spacing w:line="380" w:lineRule="exact"/>
              <w:jc w:val="center"/>
              <w:rPr>
                <w:rFonts w:asciiTheme="minorEastAsia" w:hAnsiTheme="minorEastAsia" w:eastAsiaTheme="minorEastAsia" w:cstheme="minorEastAsia"/>
                <w:spacing w:val="-1"/>
                <w:sz w:val="24"/>
                <w:szCs w:val="24"/>
                <w:highlight w:val="none"/>
              </w:rPr>
            </w:pPr>
          </w:p>
        </w:tc>
        <w:tc>
          <w:tcPr>
            <w:tcW w:w="1455" w:type="dxa"/>
            <w:vAlign w:val="center"/>
          </w:tcPr>
          <w:p w14:paraId="67BFFCA5">
            <w:pPr>
              <w:pStyle w:val="5"/>
              <w:keepNext w:val="0"/>
              <w:keepLines w:val="0"/>
              <w:pageBreakBefore w:val="0"/>
              <w:kinsoku/>
              <w:wordWrap/>
              <w:overflowPunct/>
              <w:topLinePunct w:val="0"/>
              <w:bidi w:val="0"/>
              <w:snapToGrid/>
              <w:spacing w:after="0" w:line="380" w:lineRule="exact"/>
              <w:jc w:val="center"/>
              <w:textAlignment w:val="auto"/>
              <w:rPr>
                <w:rFonts w:hint="eastAsia"/>
                <w:highlight w:val="none"/>
                <w:lang w:val="en-US" w:eastAsia="zh-CN"/>
              </w:rPr>
            </w:pPr>
          </w:p>
        </w:tc>
        <w:tc>
          <w:tcPr>
            <w:tcW w:w="1319" w:type="dxa"/>
            <w:vAlign w:val="center"/>
          </w:tcPr>
          <w:p w14:paraId="53130538">
            <w:pPr>
              <w:pStyle w:val="5"/>
              <w:keepNext w:val="0"/>
              <w:keepLines w:val="0"/>
              <w:pageBreakBefore w:val="0"/>
              <w:kinsoku/>
              <w:wordWrap/>
              <w:overflowPunct/>
              <w:topLinePunct w:val="0"/>
              <w:bidi w:val="0"/>
              <w:snapToGrid/>
              <w:spacing w:after="0" w:line="380" w:lineRule="exact"/>
              <w:jc w:val="center"/>
              <w:textAlignment w:val="auto"/>
              <w:rPr>
                <w:rFonts w:hint="eastAsia"/>
                <w:highlight w:val="none"/>
                <w:lang w:val="en-US" w:eastAsia="zh-CN"/>
              </w:rPr>
            </w:pPr>
          </w:p>
        </w:tc>
        <w:tc>
          <w:tcPr>
            <w:tcW w:w="1710" w:type="dxa"/>
            <w:vAlign w:val="center"/>
          </w:tcPr>
          <w:p w14:paraId="68AF30F8">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704,000元</w:t>
            </w:r>
          </w:p>
        </w:tc>
      </w:tr>
      <w:tr w14:paraId="7C4540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5" w:hRule="atLeast"/>
          <w:jc w:val="center"/>
        </w:trPr>
        <w:tc>
          <w:tcPr>
            <w:tcW w:w="699" w:type="dxa"/>
            <w:vAlign w:val="center"/>
          </w:tcPr>
          <w:p w14:paraId="0E80734E">
            <w:pPr>
              <w:widowControl/>
              <w:spacing w:line="380" w:lineRule="exact"/>
              <w:jc w:val="center"/>
              <w:rPr>
                <w:rFonts w:hint="eastAsia"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2</w:t>
            </w:r>
          </w:p>
        </w:tc>
        <w:tc>
          <w:tcPr>
            <w:tcW w:w="1725" w:type="dxa"/>
            <w:vAlign w:val="center"/>
          </w:tcPr>
          <w:p w14:paraId="1F7EAABA">
            <w:pPr>
              <w:pStyle w:val="5"/>
              <w:keepNext w:val="0"/>
              <w:keepLines w:val="0"/>
              <w:pageBreakBefore w:val="0"/>
              <w:kinsoku/>
              <w:wordWrap/>
              <w:overflowPunct/>
              <w:topLinePunct w:val="0"/>
              <w:bidi w:val="0"/>
              <w:snapToGrid/>
              <w:spacing w:after="0" w:line="380" w:lineRule="exact"/>
              <w:jc w:val="center"/>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新增零散需求费用</w:t>
            </w:r>
          </w:p>
        </w:tc>
        <w:tc>
          <w:tcPr>
            <w:tcW w:w="900" w:type="dxa"/>
            <w:vAlign w:val="center"/>
          </w:tcPr>
          <w:p w14:paraId="1C96F93A">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2个人月</w:t>
            </w:r>
          </w:p>
        </w:tc>
        <w:tc>
          <w:tcPr>
            <w:tcW w:w="1575" w:type="dxa"/>
            <w:vAlign w:val="center"/>
          </w:tcPr>
          <w:p w14:paraId="1455B274">
            <w:pPr>
              <w:widowControl/>
              <w:spacing w:line="380" w:lineRule="exact"/>
              <w:jc w:val="center"/>
              <w:rPr>
                <w:rFonts w:asciiTheme="minorEastAsia" w:hAnsiTheme="minorEastAsia" w:eastAsiaTheme="minorEastAsia" w:cstheme="minorEastAsia"/>
                <w:spacing w:val="-1"/>
                <w:sz w:val="24"/>
                <w:szCs w:val="24"/>
                <w:highlight w:val="none"/>
              </w:rPr>
            </w:pPr>
          </w:p>
        </w:tc>
        <w:tc>
          <w:tcPr>
            <w:tcW w:w="1455" w:type="dxa"/>
            <w:vAlign w:val="center"/>
          </w:tcPr>
          <w:p w14:paraId="1863B392">
            <w:pPr>
              <w:pStyle w:val="5"/>
              <w:keepNext w:val="0"/>
              <w:keepLines w:val="0"/>
              <w:pageBreakBefore w:val="0"/>
              <w:kinsoku/>
              <w:wordWrap/>
              <w:overflowPunct/>
              <w:topLinePunct w:val="0"/>
              <w:bidi w:val="0"/>
              <w:snapToGrid/>
              <w:spacing w:after="0" w:line="380" w:lineRule="exact"/>
              <w:jc w:val="center"/>
              <w:textAlignment w:val="auto"/>
              <w:rPr>
                <w:rFonts w:asciiTheme="minorEastAsia" w:hAnsiTheme="minorEastAsia" w:eastAsiaTheme="minorEastAsia" w:cstheme="minorEastAsia"/>
                <w:spacing w:val="-1"/>
                <w:sz w:val="24"/>
                <w:szCs w:val="24"/>
                <w:highlight w:val="none"/>
              </w:rPr>
            </w:pPr>
          </w:p>
        </w:tc>
        <w:tc>
          <w:tcPr>
            <w:tcW w:w="1319" w:type="dxa"/>
            <w:vAlign w:val="center"/>
          </w:tcPr>
          <w:p w14:paraId="4D29596C">
            <w:pPr>
              <w:pStyle w:val="5"/>
              <w:keepNext w:val="0"/>
              <w:keepLines w:val="0"/>
              <w:pageBreakBefore w:val="0"/>
              <w:kinsoku/>
              <w:wordWrap/>
              <w:overflowPunct/>
              <w:topLinePunct w:val="0"/>
              <w:bidi w:val="0"/>
              <w:snapToGrid/>
              <w:spacing w:after="0" w:line="380" w:lineRule="exact"/>
              <w:jc w:val="center"/>
              <w:textAlignment w:val="auto"/>
              <w:rPr>
                <w:rFonts w:asciiTheme="minorEastAsia" w:hAnsiTheme="minorEastAsia" w:eastAsiaTheme="minorEastAsia" w:cstheme="minorEastAsia"/>
                <w:spacing w:val="-1"/>
                <w:sz w:val="24"/>
                <w:szCs w:val="24"/>
                <w:highlight w:val="none"/>
              </w:rPr>
            </w:pPr>
          </w:p>
        </w:tc>
        <w:tc>
          <w:tcPr>
            <w:tcW w:w="1710" w:type="dxa"/>
            <w:vAlign w:val="center"/>
          </w:tcPr>
          <w:p w14:paraId="3AFFF6AF">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32,000元/人月</w:t>
            </w:r>
          </w:p>
        </w:tc>
      </w:tr>
      <w:tr w14:paraId="6CFEAE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9383" w:type="dxa"/>
            <w:gridSpan w:val="7"/>
            <w:vAlign w:val="center"/>
          </w:tcPr>
          <w:p w14:paraId="5D4C98B4">
            <w:pPr>
              <w:widowControl/>
              <w:spacing w:line="380" w:lineRule="exact"/>
              <w:jc w:val="left"/>
              <w:rPr>
                <w:rFonts w:asciiTheme="minorEastAsia" w:hAnsiTheme="minorEastAsia" w:eastAsiaTheme="minorEastAsia" w:cstheme="minorEastAsia"/>
                <w:spacing w:val="-1"/>
                <w:sz w:val="24"/>
                <w:szCs w:val="24"/>
                <w:highlight w:val="none"/>
              </w:rPr>
            </w:pPr>
            <w:r>
              <w:rPr>
                <w:rFonts w:hint="eastAsia" w:ascii="宋体" w:hAnsi="宋体" w:eastAsia="宋体" w:cs="宋体"/>
                <w:color w:val="auto"/>
                <w:sz w:val="24"/>
                <w:szCs w:val="24"/>
                <w:highlight w:val="none"/>
              </w:rPr>
              <w:t>合计金额小写：¥          （大写：人民币                     ）</w:t>
            </w:r>
          </w:p>
        </w:tc>
      </w:tr>
      <w:tr w14:paraId="557CB2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9" w:hRule="atLeast"/>
          <w:jc w:val="center"/>
        </w:trPr>
        <w:tc>
          <w:tcPr>
            <w:tcW w:w="2424" w:type="dxa"/>
            <w:gridSpan w:val="2"/>
            <w:vAlign w:val="center"/>
          </w:tcPr>
          <w:p w14:paraId="15F57993">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服务期</w:t>
            </w:r>
          </w:p>
        </w:tc>
        <w:tc>
          <w:tcPr>
            <w:tcW w:w="6959" w:type="dxa"/>
            <w:gridSpan w:val="5"/>
            <w:vAlign w:val="center"/>
          </w:tcPr>
          <w:p w14:paraId="1526C831">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p>
        </w:tc>
      </w:tr>
      <w:tr w14:paraId="7BA6F7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2424" w:type="dxa"/>
            <w:gridSpan w:val="2"/>
            <w:vAlign w:val="center"/>
          </w:tcPr>
          <w:p w14:paraId="7A705DA9">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免费维保期</w:t>
            </w:r>
          </w:p>
        </w:tc>
        <w:tc>
          <w:tcPr>
            <w:tcW w:w="6959" w:type="dxa"/>
            <w:gridSpan w:val="5"/>
            <w:vAlign w:val="center"/>
          </w:tcPr>
          <w:p w14:paraId="165BE3D7">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p>
        </w:tc>
      </w:tr>
      <w:tr w14:paraId="1B87BE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5" w:hRule="atLeast"/>
          <w:jc w:val="center"/>
        </w:trPr>
        <w:tc>
          <w:tcPr>
            <w:tcW w:w="2424" w:type="dxa"/>
            <w:gridSpan w:val="2"/>
            <w:vAlign w:val="center"/>
          </w:tcPr>
          <w:p w14:paraId="66BCFC08">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免费维保期满后年维护费报价</w:t>
            </w:r>
          </w:p>
        </w:tc>
        <w:tc>
          <w:tcPr>
            <w:tcW w:w="5249" w:type="dxa"/>
            <w:gridSpan w:val="4"/>
            <w:vAlign w:val="center"/>
          </w:tcPr>
          <w:p w14:paraId="0316543F">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p>
        </w:tc>
        <w:tc>
          <w:tcPr>
            <w:tcW w:w="1710" w:type="dxa"/>
            <w:vAlign w:val="center"/>
          </w:tcPr>
          <w:p w14:paraId="32145F45">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r>
              <w:rPr>
                <w:rFonts w:hint="eastAsia"/>
                <w:highlight w:val="none"/>
                <w:lang w:val="en-US" w:eastAsia="zh-CN"/>
              </w:rPr>
              <w:t>不高于合同金额的10%</w:t>
            </w:r>
          </w:p>
        </w:tc>
      </w:tr>
      <w:tr w14:paraId="620A45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9" w:hRule="atLeast"/>
          <w:jc w:val="center"/>
        </w:trPr>
        <w:tc>
          <w:tcPr>
            <w:tcW w:w="2424" w:type="dxa"/>
            <w:gridSpan w:val="2"/>
            <w:vAlign w:val="center"/>
          </w:tcPr>
          <w:p w14:paraId="34037239">
            <w:pPr>
              <w:widowControl/>
              <w:spacing w:line="380" w:lineRule="exact"/>
              <w:jc w:val="center"/>
              <w:rPr>
                <w:rFonts w:hint="eastAsia"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其  他</w:t>
            </w:r>
          </w:p>
        </w:tc>
        <w:tc>
          <w:tcPr>
            <w:tcW w:w="6959" w:type="dxa"/>
            <w:gridSpan w:val="5"/>
            <w:vAlign w:val="center"/>
          </w:tcPr>
          <w:p w14:paraId="2CFAA377">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p>
        </w:tc>
      </w:tr>
    </w:tbl>
    <w:p w14:paraId="141F7729">
      <w:pPr>
        <w:tabs>
          <w:tab w:val="left" w:pos="6725"/>
        </w:tabs>
        <w:spacing w:line="586" w:lineRule="exact"/>
        <w:rPr>
          <w:highlight w:val="none"/>
        </w:rPr>
      </w:pPr>
    </w:p>
    <w:p w14:paraId="1E03AEE0">
      <w:pPr>
        <w:tabs>
          <w:tab w:val="left" w:pos="6725"/>
        </w:tabs>
        <w:spacing w:line="586" w:lineRule="exact"/>
        <w:rPr>
          <w:highlight w:val="none"/>
        </w:rPr>
      </w:pPr>
      <w:r>
        <w:rPr>
          <w:highlight w:val="none"/>
        </w:rPr>
        <w:t>法定代表人或委托代理人</w:t>
      </w:r>
      <w:r>
        <w:rPr>
          <w:rFonts w:hint="eastAsia"/>
          <w:highlight w:val="none"/>
        </w:rPr>
        <w:t>（</w:t>
      </w:r>
      <w:r>
        <w:rPr>
          <w:highlight w:val="none"/>
        </w:rPr>
        <w:t>签</w:t>
      </w:r>
      <w:r>
        <w:rPr>
          <w:rFonts w:hint="eastAsia"/>
          <w:highlight w:val="none"/>
        </w:rPr>
        <w:t>字或签章）</w:t>
      </w:r>
      <w:r>
        <w:rPr>
          <w:highlight w:val="none"/>
        </w:rPr>
        <w:t>：                             报价时间：</w:t>
      </w:r>
    </w:p>
    <w:p w14:paraId="7E9F7AC1">
      <w:pPr>
        <w:pStyle w:val="51"/>
        <w:rPr>
          <w:rFonts w:ascii="Times New Roman" w:hAnsi="Times New Roman" w:cs="Times New Roman"/>
          <w:b/>
          <w:bCs/>
          <w:color w:val="auto"/>
          <w:kern w:val="2"/>
          <w:sz w:val="21"/>
          <w:szCs w:val="21"/>
          <w:highlight w:val="none"/>
        </w:rPr>
      </w:pPr>
    </w:p>
    <w:p w14:paraId="23AF4699">
      <w:pPr>
        <w:pStyle w:val="51"/>
        <w:rPr>
          <w:rFonts w:ascii="Times New Roman" w:hAnsi="Times New Roman" w:cs="Times New Roman"/>
          <w:color w:val="auto"/>
          <w:kern w:val="2"/>
          <w:sz w:val="21"/>
          <w:szCs w:val="21"/>
          <w:highlight w:val="none"/>
        </w:rPr>
      </w:pPr>
      <w:r>
        <w:rPr>
          <w:rFonts w:hint="eastAsia" w:ascii="Times New Roman" w:hAnsi="Times New Roman" w:cs="Times New Roman"/>
          <w:b/>
          <w:bCs/>
          <w:color w:val="auto"/>
          <w:kern w:val="2"/>
          <w:sz w:val="21"/>
          <w:szCs w:val="21"/>
          <w:highlight w:val="none"/>
        </w:rPr>
        <w:t>注：</w:t>
      </w:r>
      <w:r>
        <w:rPr>
          <w:rFonts w:hint="eastAsia" w:ascii="Times New Roman" w:hAnsi="Times New Roman" w:cs="Times New Roman"/>
          <w:color w:val="auto"/>
          <w:kern w:val="2"/>
          <w:sz w:val="21"/>
          <w:szCs w:val="21"/>
          <w:highlight w:val="none"/>
        </w:rPr>
        <w:t>该报价表请单独准备，不用封装在响应文件里，磋商现场进行填写。</w:t>
      </w:r>
    </w:p>
    <w:p w14:paraId="16FAF2A2">
      <w:pPr>
        <w:pStyle w:val="51"/>
        <w:rPr>
          <w:highlight w:val="none"/>
        </w:rPr>
      </w:pPr>
    </w:p>
    <w:p w14:paraId="39EAB713">
      <w:pPr>
        <w:pStyle w:val="52"/>
        <w:rPr>
          <w:highlight w:val="none"/>
        </w:rPr>
      </w:pPr>
    </w:p>
    <w:sectPr>
      <w:pgSz w:w="11905" w:h="16838"/>
      <w:pgMar w:top="1417" w:right="1361" w:bottom="1417" w:left="1361" w:header="850"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utura Bk">
    <w:altName w:val="Segoe Print"/>
    <w:panose1 w:val="00000000000000000000"/>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小标宋">
    <w:panose1 w:val="03000509000000000000"/>
    <w:charset w:val="86"/>
    <w:family w:val="auto"/>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B7855">
    <w:pPr>
      <w:pStyle w:val="32"/>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333FBE4">
                          <w:pPr>
                            <w:pStyle w:val="32"/>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rect id="文本框 102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l1uVLQAAAABQEAAA8AAAAAAAAAAQAgAAAAIgAAAGRycy9kb3ducmV2LnhtbFBLAQIUABQA&#10;AAAIAIdO4kChfDZ9vwEAAH4DAAAOAAAAAAAAAAEAIAAAAB8BAABkcnMvZTJvRG9jLnhtbFBLBQYA&#10;AAAABgAGAFkBAABQBQAAAAA=&#10;">
              <v:fill on="f" focussize="0,0"/>
              <v:stroke on="f"/>
              <v:imagedata o:title=""/>
              <o:lock v:ext="edit" aspectratio="f"/>
              <v:textbox inset="0mm,0mm,0mm,0mm" style="mso-fit-shape-to-text:t;">
                <w:txbxContent>
                  <w:p w14:paraId="3333FBE4">
                    <w:pPr>
                      <w:pStyle w:val="32"/>
                    </w:pPr>
                    <w:r>
                      <w:fldChar w:fldCharType="begin"/>
                    </w:r>
                    <w:r>
                      <w:instrText xml:space="preserve"> PAGE  \* MERGEFORMAT </w:instrText>
                    </w:r>
                    <w:r>
                      <w:fldChar w:fldCharType="separate"/>
                    </w:r>
                    <w:r>
                      <w:t>21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1D4B8">
    <w:pPr>
      <w:pStyle w:val="32"/>
      <w:ind w:right="36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580C050">
                          <w:pPr>
                            <w:pStyle w:val="32"/>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XW5UtAAAAAFAQAADwAAAAAAAAABACAAAAAiAAAAZHJzL2Rvd25yZXYueG1sUEsBAhQAFAAAAAgA&#10;h07iQLbJ6cO7AQAAewMAAA4AAAAAAAAAAQAgAAAAHwEAAGRycy9lMm9Eb2MueG1sUEsFBgAAAAAG&#10;AAYAWQEAAEwFAAAAAA==&#10;">
              <v:fill on="f" focussize="0,0"/>
              <v:stroke on="f"/>
              <v:imagedata o:title=""/>
              <o:lock v:ext="edit" aspectratio="f"/>
              <v:textbox inset="0mm,0mm,0mm,0mm" style="mso-fit-shape-to-text:t;">
                <w:txbxContent>
                  <w:p w14:paraId="0580C050">
                    <w:pPr>
                      <w:pStyle w:val="32"/>
                    </w:pPr>
                    <w:r>
                      <w:fldChar w:fldCharType="begin"/>
                    </w:r>
                    <w:r>
                      <w:instrText xml:space="preserve"> PAGE  \* MERGEFORMAT </w:instrText>
                    </w:r>
                    <w:r>
                      <w:fldChar w:fldCharType="separate"/>
                    </w:r>
                    <w:r>
                      <w:t>5</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F8471">
    <w:pPr>
      <w:pStyle w:val="32"/>
      <w:ind w:right="36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02F04CA">
                          <w:pPr>
                            <w:pStyle w:val="32"/>
                          </w:pPr>
                          <w:r>
                            <w:fldChar w:fldCharType="begin"/>
                          </w:r>
                          <w:r>
                            <w:instrText xml:space="preserve"> PAGE  \* MERGEFORMAT </w:instrText>
                          </w:r>
                          <w:r>
                            <w:fldChar w:fldCharType="separate"/>
                          </w:r>
                          <w:r>
                            <w:t>11</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XW5UtAAAAAFAQAADwAAAAAAAAABACAAAAAiAAAAZHJzL2Rvd25yZXYueG1sUEsBAhQAFAAA&#10;AAgAh07iQJ2Cosa+AQAAfgMAAA4AAAAAAAAAAQAgAAAAHwEAAGRycy9lMm9Eb2MueG1sUEsFBgAA&#10;AAAGAAYAWQEAAE8FAAAAAA==&#10;">
              <v:fill on="f" focussize="0,0"/>
              <v:stroke on="f"/>
              <v:imagedata o:title=""/>
              <o:lock v:ext="edit" aspectratio="f"/>
              <v:textbox inset="0mm,0mm,0mm,0mm" style="mso-fit-shape-to-text:t;">
                <w:txbxContent>
                  <w:p w14:paraId="702F04CA">
                    <w:pPr>
                      <w:pStyle w:val="32"/>
                    </w:pPr>
                    <w:r>
                      <w:fldChar w:fldCharType="begin"/>
                    </w:r>
                    <w:r>
                      <w:instrText xml:space="preserve"> PAGE  \* MERGEFORMAT </w:instrText>
                    </w:r>
                    <w:r>
                      <w:fldChar w:fldCharType="separate"/>
                    </w:r>
                    <w:r>
                      <w:t>11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42B3D">
    <w:pPr>
      <w:pStyle w:val="32"/>
      <w:ind w:right="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CDB716">
                          <w:pPr>
                            <w:pStyle w:val="32"/>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05CDB716">
                    <w:pPr>
                      <w:pStyle w:val="32"/>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497DB">
    <w:pPr>
      <w:pStyle w:val="33"/>
      <w:pBdr>
        <w:bottom w:val="none" w:color="auto" w:sz="0" w:space="1"/>
      </w:pBdr>
      <w:jc w:val="distribute"/>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D4291">
    <w:pPr>
      <w:pStyle w:val="33"/>
      <w:pBdr>
        <w:bottom w:val="none" w:color="auto" w:sz="0" w:space="1"/>
      </w:pBdr>
      <w:jc w:val="distribute"/>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A5B81">
    <w:pPr>
      <w:pStyle w:val="33"/>
      <w:pBdr>
        <w:bottom w:val="none" w:color="auto" w:sz="0" w:space="1"/>
      </w:pBdr>
      <w:jc w:val="distribute"/>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bullet"/>
      <w:pStyle w:val="136"/>
      <w:lvlText w:val=""/>
      <w:lvlJc w:val="left"/>
      <w:pPr>
        <w:tabs>
          <w:tab w:val="left" w:pos="40"/>
        </w:tabs>
        <w:ind w:left="40" w:hanging="420"/>
      </w:pPr>
      <w:rPr>
        <w:rFonts w:hint="default" w:ascii="Wingdings" w:hAnsi="Wingdings"/>
      </w:rPr>
    </w:lvl>
  </w:abstractNum>
  <w:abstractNum w:abstractNumId="1">
    <w:nsid w:val="00000002"/>
    <w:multiLevelType w:val="multilevel"/>
    <w:tmpl w:val="00000002"/>
    <w:lvl w:ilvl="0" w:tentative="0">
      <w:start w:val="1"/>
      <w:numFmt w:val="lowerLetter"/>
      <w:pStyle w:val="198"/>
      <w:lvlText w:val="%1)"/>
      <w:lvlJc w:val="left"/>
      <w:pPr>
        <w:tabs>
          <w:tab w:val="left" w:pos="1680"/>
        </w:tabs>
        <w:ind w:left="16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3"/>
    <w:multiLevelType w:val="singleLevel"/>
    <w:tmpl w:val="00000003"/>
    <w:lvl w:ilvl="0" w:tentative="0">
      <w:start w:val="1"/>
      <w:numFmt w:val="decimal"/>
      <w:pStyle w:val="19"/>
      <w:lvlText w:val="%1."/>
      <w:lvlJc w:val="left"/>
      <w:pPr>
        <w:tabs>
          <w:tab w:val="left" w:pos="360"/>
        </w:tabs>
        <w:ind w:left="360" w:hanging="360"/>
      </w:pPr>
    </w:lvl>
  </w:abstractNum>
  <w:abstractNum w:abstractNumId="3">
    <w:nsid w:val="00000004"/>
    <w:multiLevelType w:val="multilevel"/>
    <w:tmpl w:val="00000004"/>
    <w:lvl w:ilvl="0" w:tentative="0">
      <w:start w:val="1"/>
      <w:numFmt w:val="decimal"/>
      <w:pStyle w:val="191"/>
      <w:lvlText w:val="第%1章  "/>
      <w:lvlJc w:val="left"/>
      <w:pPr>
        <w:tabs>
          <w:tab w:val="left" w:pos="360"/>
        </w:tabs>
        <w:ind w:left="360" w:hanging="360"/>
      </w:pPr>
      <w:rPr>
        <w:rFonts w:hint="eastAsia" w:ascii="Times New Roman" w:hAnsi="Times New Roman" w:cs="Times New Roman"/>
        <w:b w:val="0"/>
        <w:bCs w:val="0"/>
        <w:i w:val="0"/>
        <w:iCs w:val="0"/>
        <w:caps w:val="0"/>
        <w:smallCaps w:val="0"/>
        <w:vanish w:val="0"/>
        <w:color w:val="000000"/>
        <w:spacing w:val="0"/>
        <w:position w:val="0"/>
        <w:u w:val="none"/>
        <w:vertAlign w:val="baseline"/>
      </w:rPr>
    </w:lvl>
    <w:lvl w:ilvl="1" w:tentative="0">
      <w:start w:val="1"/>
      <w:numFmt w:val="decimal"/>
      <w:lvlText w:val="%2."/>
      <w:lvlJc w:val="left"/>
      <w:pPr>
        <w:tabs>
          <w:tab w:val="left" w:pos="900"/>
        </w:tabs>
        <w:ind w:left="540" w:hanging="360"/>
      </w:pPr>
      <w:rPr>
        <w:rFonts w:hint="eastAsia"/>
        <w:color w:val="auto"/>
      </w:rPr>
    </w:lvl>
    <w:lvl w:ilvl="2" w:tentative="0">
      <w:start w:val="1"/>
      <w:numFmt w:val="decimal"/>
      <w:pStyle w:val="134"/>
      <w:lvlText w:val="%1.%2.%3"/>
      <w:lvlJc w:val="left"/>
      <w:pPr>
        <w:tabs>
          <w:tab w:val="left" w:pos="1440"/>
        </w:tabs>
        <w:ind w:left="1080" w:hanging="360"/>
      </w:pPr>
      <w:rPr>
        <w:rFonts w:hint="eastAsia"/>
      </w:rPr>
    </w:lvl>
    <w:lvl w:ilvl="3" w:tentative="0">
      <w:start w:val="1"/>
      <w:numFmt w:val="decimal"/>
      <w:lvlText w:val="%1.%2.%3.%4"/>
      <w:lvlJc w:val="left"/>
      <w:pPr>
        <w:tabs>
          <w:tab w:val="left" w:pos="2160"/>
        </w:tabs>
        <w:ind w:left="1440" w:hanging="360"/>
      </w:pPr>
      <w:rPr>
        <w:rFonts w:hint="eastAsia"/>
      </w:rPr>
    </w:lvl>
    <w:lvl w:ilvl="4" w:tentative="0">
      <w:start w:val="1"/>
      <w:numFmt w:val="lowerLetter"/>
      <w:lvlText w:val="(%5)"/>
      <w:lvlJc w:val="left"/>
      <w:pPr>
        <w:tabs>
          <w:tab w:val="left" w:pos="1800"/>
        </w:tabs>
        <w:ind w:left="1800" w:hanging="360"/>
      </w:pPr>
      <w:rPr>
        <w:rFonts w:hint="eastAsia"/>
      </w:rPr>
    </w:lvl>
    <w:lvl w:ilvl="5" w:tentative="0">
      <w:start w:val="1"/>
      <w:numFmt w:val="lowerRoman"/>
      <w:lvlText w:val="(%6)"/>
      <w:lvlJc w:val="left"/>
      <w:pPr>
        <w:tabs>
          <w:tab w:val="left" w:pos="2160"/>
        </w:tabs>
        <w:ind w:left="2160" w:hanging="360"/>
      </w:pPr>
      <w:rPr>
        <w:rFonts w:hint="eastAsia"/>
      </w:rPr>
    </w:lvl>
    <w:lvl w:ilvl="6" w:tentative="0">
      <w:start w:val="1"/>
      <w:numFmt w:val="decimal"/>
      <w:lvlText w:val="%7."/>
      <w:lvlJc w:val="left"/>
      <w:pPr>
        <w:tabs>
          <w:tab w:val="left" w:pos="2520"/>
        </w:tabs>
        <w:ind w:left="2520" w:hanging="360"/>
      </w:pPr>
      <w:rPr>
        <w:rFonts w:hint="eastAsia"/>
      </w:rPr>
    </w:lvl>
    <w:lvl w:ilvl="7" w:tentative="0">
      <w:start w:val="1"/>
      <w:numFmt w:val="lowerLetter"/>
      <w:lvlText w:val="%8."/>
      <w:lvlJc w:val="left"/>
      <w:pPr>
        <w:tabs>
          <w:tab w:val="left" w:pos="2880"/>
        </w:tabs>
        <w:ind w:left="2880" w:hanging="360"/>
      </w:pPr>
      <w:rPr>
        <w:rFonts w:hint="eastAsia"/>
      </w:rPr>
    </w:lvl>
    <w:lvl w:ilvl="8" w:tentative="0">
      <w:start w:val="1"/>
      <w:numFmt w:val="lowerRoman"/>
      <w:lvlText w:val="%9."/>
      <w:lvlJc w:val="left"/>
      <w:pPr>
        <w:tabs>
          <w:tab w:val="left" w:pos="3240"/>
        </w:tabs>
        <w:ind w:left="3240" w:hanging="360"/>
      </w:pPr>
      <w:rPr>
        <w:rFonts w:hint="eastAsia"/>
      </w:rPr>
    </w:lvl>
  </w:abstractNum>
  <w:abstractNum w:abstractNumId="4">
    <w:nsid w:val="00000005"/>
    <w:multiLevelType w:val="multilevel"/>
    <w:tmpl w:val="00000005"/>
    <w:lvl w:ilvl="0" w:tentative="0">
      <w:start w:val="1"/>
      <w:numFmt w:val="decimal"/>
      <w:pStyle w:val="206"/>
      <w:lvlText w:val="%1)"/>
      <w:lvlJc w:val="left"/>
      <w:pPr>
        <w:tabs>
          <w:tab w:val="left" w:pos="780"/>
        </w:tabs>
        <w:ind w:left="780" w:hanging="420"/>
      </w:pPr>
      <w:rPr>
        <w:rFonts w:hint="default"/>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21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M2MwNWQwMjBlMWUzZjNlNTQzNTJmMDMwYmUyOTYifQ=="/>
  </w:docVars>
  <w:rsids>
    <w:rsidRoot w:val="001D15A1"/>
    <w:rsid w:val="00015B90"/>
    <w:rsid w:val="00043EC5"/>
    <w:rsid w:val="000746D2"/>
    <w:rsid w:val="00075B27"/>
    <w:rsid w:val="000D59F3"/>
    <w:rsid w:val="000F5222"/>
    <w:rsid w:val="00157805"/>
    <w:rsid w:val="00180338"/>
    <w:rsid w:val="00195FCA"/>
    <w:rsid w:val="001D15A1"/>
    <w:rsid w:val="001F7B21"/>
    <w:rsid w:val="00210383"/>
    <w:rsid w:val="00213F1E"/>
    <w:rsid w:val="002202A3"/>
    <w:rsid w:val="00246986"/>
    <w:rsid w:val="002478C4"/>
    <w:rsid w:val="00254234"/>
    <w:rsid w:val="00270B95"/>
    <w:rsid w:val="00285499"/>
    <w:rsid w:val="002979B3"/>
    <w:rsid w:val="002B2E07"/>
    <w:rsid w:val="002F4343"/>
    <w:rsid w:val="00313D1E"/>
    <w:rsid w:val="00315AFF"/>
    <w:rsid w:val="003502AF"/>
    <w:rsid w:val="00386091"/>
    <w:rsid w:val="003935B7"/>
    <w:rsid w:val="00394E42"/>
    <w:rsid w:val="003B53EC"/>
    <w:rsid w:val="003C11DD"/>
    <w:rsid w:val="003E1EEC"/>
    <w:rsid w:val="003F2A37"/>
    <w:rsid w:val="0040726A"/>
    <w:rsid w:val="00412CC3"/>
    <w:rsid w:val="004263F5"/>
    <w:rsid w:val="004358D2"/>
    <w:rsid w:val="004575AB"/>
    <w:rsid w:val="00463FBA"/>
    <w:rsid w:val="004735AB"/>
    <w:rsid w:val="00475125"/>
    <w:rsid w:val="0048721A"/>
    <w:rsid w:val="00490F9F"/>
    <w:rsid w:val="00493B03"/>
    <w:rsid w:val="004B2E69"/>
    <w:rsid w:val="004C1AAB"/>
    <w:rsid w:val="004D4DCF"/>
    <w:rsid w:val="0052285C"/>
    <w:rsid w:val="00531228"/>
    <w:rsid w:val="00532496"/>
    <w:rsid w:val="005530BD"/>
    <w:rsid w:val="00556B40"/>
    <w:rsid w:val="00561FC9"/>
    <w:rsid w:val="005B0CE1"/>
    <w:rsid w:val="005C0347"/>
    <w:rsid w:val="005F16DF"/>
    <w:rsid w:val="00610D13"/>
    <w:rsid w:val="00624491"/>
    <w:rsid w:val="00642B9B"/>
    <w:rsid w:val="0065510B"/>
    <w:rsid w:val="0066328F"/>
    <w:rsid w:val="006711D5"/>
    <w:rsid w:val="006A545E"/>
    <w:rsid w:val="006B415D"/>
    <w:rsid w:val="006C4A7A"/>
    <w:rsid w:val="006D2694"/>
    <w:rsid w:val="006E19D1"/>
    <w:rsid w:val="006F1106"/>
    <w:rsid w:val="00701DBA"/>
    <w:rsid w:val="00711D34"/>
    <w:rsid w:val="007433C4"/>
    <w:rsid w:val="00762FF2"/>
    <w:rsid w:val="00771D50"/>
    <w:rsid w:val="00794A95"/>
    <w:rsid w:val="007D36F0"/>
    <w:rsid w:val="007E2B18"/>
    <w:rsid w:val="007E7031"/>
    <w:rsid w:val="008023FF"/>
    <w:rsid w:val="0081109A"/>
    <w:rsid w:val="00820A9C"/>
    <w:rsid w:val="008211DF"/>
    <w:rsid w:val="008578F0"/>
    <w:rsid w:val="00872909"/>
    <w:rsid w:val="00874E85"/>
    <w:rsid w:val="008A353C"/>
    <w:rsid w:val="008B26FE"/>
    <w:rsid w:val="008C37D2"/>
    <w:rsid w:val="008C6485"/>
    <w:rsid w:val="008D28BF"/>
    <w:rsid w:val="008E6D8D"/>
    <w:rsid w:val="00921994"/>
    <w:rsid w:val="009432A2"/>
    <w:rsid w:val="0094472A"/>
    <w:rsid w:val="00947C2D"/>
    <w:rsid w:val="0096604C"/>
    <w:rsid w:val="00973900"/>
    <w:rsid w:val="00982AA7"/>
    <w:rsid w:val="00986A41"/>
    <w:rsid w:val="00994F9F"/>
    <w:rsid w:val="00995585"/>
    <w:rsid w:val="00A10A74"/>
    <w:rsid w:val="00A2280B"/>
    <w:rsid w:val="00A22EA2"/>
    <w:rsid w:val="00A245DF"/>
    <w:rsid w:val="00A26246"/>
    <w:rsid w:val="00A51AC6"/>
    <w:rsid w:val="00A8550F"/>
    <w:rsid w:val="00AA0D53"/>
    <w:rsid w:val="00AC691F"/>
    <w:rsid w:val="00AD1363"/>
    <w:rsid w:val="00AD377E"/>
    <w:rsid w:val="00AE3CDF"/>
    <w:rsid w:val="00AF4272"/>
    <w:rsid w:val="00B03E9D"/>
    <w:rsid w:val="00B07077"/>
    <w:rsid w:val="00B13DE7"/>
    <w:rsid w:val="00B53693"/>
    <w:rsid w:val="00B5755E"/>
    <w:rsid w:val="00B677D0"/>
    <w:rsid w:val="00B76947"/>
    <w:rsid w:val="00BB0408"/>
    <w:rsid w:val="00BD413C"/>
    <w:rsid w:val="00BF2834"/>
    <w:rsid w:val="00C018C3"/>
    <w:rsid w:val="00C05C18"/>
    <w:rsid w:val="00C20FCB"/>
    <w:rsid w:val="00C33A29"/>
    <w:rsid w:val="00C35938"/>
    <w:rsid w:val="00C37FB8"/>
    <w:rsid w:val="00C73FDE"/>
    <w:rsid w:val="00C81960"/>
    <w:rsid w:val="00C9581D"/>
    <w:rsid w:val="00C97945"/>
    <w:rsid w:val="00C97E3E"/>
    <w:rsid w:val="00CC21BA"/>
    <w:rsid w:val="00CE54B3"/>
    <w:rsid w:val="00D06258"/>
    <w:rsid w:val="00D34AB4"/>
    <w:rsid w:val="00D40546"/>
    <w:rsid w:val="00D6313A"/>
    <w:rsid w:val="00D752BA"/>
    <w:rsid w:val="00D77D9D"/>
    <w:rsid w:val="00D8105A"/>
    <w:rsid w:val="00D92564"/>
    <w:rsid w:val="00DA1199"/>
    <w:rsid w:val="00DB0EF4"/>
    <w:rsid w:val="00DD2F6B"/>
    <w:rsid w:val="00DE38FE"/>
    <w:rsid w:val="00E93E6E"/>
    <w:rsid w:val="00EB4480"/>
    <w:rsid w:val="00EB57A9"/>
    <w:rsid w:val="00EB6C42"/>
    <w:rsid w:val="00EE4882"/>
    <w:rsid w:val="00EE7355"/>
    <w:rsid w:val="00F123FE"/>
    <w:rsid w:val="00F158F3"/>
    <w:rsid w:val="00F17187"/>
    <w:rsid w:val="00F2510D"/>
    <w:rsid w:val="00F279F4"/>
    <w:rsid w:val="00F43833"/>
    <w:rsid w:val="00F56A5A"/>
    <w:rsid w:val="00F646F6"/>
    <w:rsid w:val="00F7249D"/>
    <w:rsid w:val="00F7751B"/>
    <w:rsid w:val="00F900AD"/>
    <w:rsid w:val="00F95953"/>
    <w:rsid w:val="00FA045B"/>
    <w:rsid w:val="00FC3F53"/>
    <w:rsid w:val="00FD7477"/>
    <w:rsid w:val="00FE19F8"/>
    <w:rsid w:val="01543520"/>
    <w:rsid w:val="015D297D"/>
    <w:rsid w:val="024C4930"/>
    <w:rsid w:val="027D1F56"/>
    <w:rsid w:val="02C957D1"/>
    <w:rsid w:val="02D33B93"/>
    <w:rsid w:val="02DF4869"/>
    <w:rsid w:val="03191E04"/>
    <w:rsid w:val="03B633EB"/>
    <w:rsid w:val="03BB5C30"/>
    <w:rsid w:val="0429522B"/>
    <w:rsid w:val="043C7EC9"/>
    <w:rsid w:val="046D615C"/>
    <w:rsid w:val="04B4532A"/>
    <w:rsid w:val="04EC3F5D"/>
    <w:rsid w:val="050F525C"/>
    <w:rsid w:val="051E2A19"/>
    <w:rsid w:val="05AA0491"/>
    <w:rsid w:val="062737D8"/>
    <w:rsid w:val="063A75FA"/>
    <w:rsid w:val="063B4AA5"/>
    <w:rsid w:val="065F230A"/>
    <w:rsid w:val="07372F85"/>
    <w:rsid w:val="07E30794"/>
    <w:rsid w:val="07E63896"/>
    <w:rsid w:val="08023860"/>
    <w:rsid w:val="08212C01"/>
    <w:rsid w:val="083225F0"/>
    <w:rsid w:val="087A4FD1"/>
    <w:rsid w:val="089F2BC6"/>
    <w:rsid w:val="08DB6D5C"/>
    <w:rsid w:val="08E41D65"/>
    <w:rsid w:val="090B25A2"/>
    <w:rsid w:val="094E43EF"/>
    <w:rsid w:val="09905E0D"/>
    <w:rsid w:val="09A75694"/>
    <w:rsid w:val="09CC0C15"/>
    <w:rsid w:val="09D634BD"/>
    <w:rsid w:val="09E70EF3"/>
    <w:rsid w:val="0A041D68"/>
    <w:rsid w:val="0A2E773B"/>
    <w:rsid w:val="0A7F3A7F"/>
    <w:rsid w:val="0AB212CD"/>
    <w:rsid w:val="0B28609B"/>
    <w:rsid w:val="0B485165"/>
    <w:rsid w:val="0B64514E"/>
    <w:rsid w:val="0B6B4796"/>
    <w:rsid w:val="0BAC7952"/>
    <w:rsid w:val="0C622CD2"/>
    <w:rsid w:val="0C7968A4"/>
    <w:rsid w:val="0D38144C"/>
    <w:rsid w:val="0D606D38"/>
    <w:rsid w:val="0DA54883"/>
    <w:rsid w:val="0DCF5371"/>
    <w:rsid w:val="0DD91F2A"/>
    <w:rsid w:val="0DE719D0"/>
    <w:rsid w:val="0E15484D"/>
    <w:rsid w:val="0E691BA6"/>
    <w:rsid w:val="0E70565D"/>
    <w:rsid w:val="0E871FE6"/>
    <w:rsid w:val="0ECC3869"/>
    <w:rsid w:val="0F152FD6"/>
    <w:rsid w:val="0F180CBD"/>
    <w:rsid w:val="0F2A04C4"/>
    <w:rsid w:val="0F3E582E"/>
    <w:rsid w:val="0F745F58"/>
    <w:rsid w:val="0F745F6E"/>
    <w:rsid w:val="0F8B0A1D"/>
    <w:rsid w:val="0FD80B0A"/>
    <w:rsid w:val="10197082"/>
    <w:rsid w:val="101C630F"/>
    <w:rsid w:val="10954B65"/>
    <w:rsid w:val="10D149D6"/>
    <w:rsid w:val="11021C58"/>
    <w:rsid w:val="11323BF4"/>
    <w:rsid w:val="11481909"/>
    <w:rsid w:val="117A57CA"/>
    <w:rsid w:val="118446B3"/>
    <w:rsid w:val="11907E45"/>
    <w:rsid w:val="1191743C"/>
    <w:rsid w:val="11A974DE"/>
    <w:rsid w:val="11AA727D"/>
    <w:rsid w:val="11F36D9B"/>
    <w:rsid w:val="1337166D"/>
    <w:rsid w:val="133B0F04"/>
    <w:rsid w:val="13752161"/>
    <w:rsid w:val="138D2FB7"/>
    <w:rsid w:val="13BD65BB"/>
    <w:rsid w:val="1427419B"/>
    <w:rsid w:val="146F3700"/>
    <w:rsid w:val="14775E4A"/>
    <w:rsid w:val="14DF775A"/>
    <w:rsid w:val="15165984"/>
    <w:rsid w:val="15560A1C"/>
    <w:rsid w:val="16046039"/>
    <w:rsid w:val="16722EB2"/>
    <w:rsid w:val="168A663E"/>
    <w:rsid w:val="170532D4"/>
    <w:rsid w:val="17422893"/>
    <w:rsid w:val="175B4760"/>
    <w:rsid w:val="179D6347"/>
    <w:rsid w:val="17FA0855"/>
    <w:rsid w:val="18605572"/>
    <w:rsid w:val="18744B56"/>
    <w:rsid w:val="18F83355"/>
    <w:rsid w:val="18FB7654"/>
    <w:rsid w:val="19051898"/>
    <w:rsid w:val="192E4684"/>
    <w:rsid w:val="194841D4"/>
    <w:rsid w:val="195F50BF"/>
    <w:rsid w:val="1982780D"/>
    <w:rsid w:val="1987145E"/>
    <w:rsid w:val="19AC725F"/>
    <w:rsid w:val="1A032675"/>
    <w:rsid w:val="1A0B502C"/>
    <w:rsid w:val="1A9345E7"/>
    <w:rsid w:val="1AAB238F"/>
    <w:rsid w:val="1AAE0CAE"/>
    <w:rsid w:val="1B08435B"/>
    <w:rsid w:val="1B1E03FA"/>
    <w:rsid w:val="1BAD2CF8"/>
    <w:rsid w:val="1BB945B2"/>
    <w:rsid w:val="1BBF4F83"/>
    <w:rsid w:val="1BF43DFF"/>
    <w:rsid w:val="1C6E4955"/>
    <w:rsid w:val="1C831335"/>
    <w:rsid w:val="1C960B02"/>
    <w:rsid w:val="1CC969C9"/>
    <w:rsid w:val="1CD8640C"/>
    <w:rsid w:val="1D0048A3"/>
    <w:rsid w:val="1D0609AB"/>
    <w:rsid w:val="1D227154"/>
    <w:rsid w:val="1D305D3E"/>
    <w:rsid w:val="1DB757DB"/>
    <w:rsid w:val="1DFF5E2B"/>
    <w:rsid w:val="1E1C35EE"/>
    <w:rsid w:val="1E384BD6"/>
    <w:rsid w:val="1E4E53A9"/>
    <w:rsid w:val="1E7B2211"/>
    <w:rsid w:val="1E87344B"/>
    <w:rsid w:val="1F171A10"/>
    <w:rsid w:val="1F764C8E"/>
    <w:rsid w:val="1FBA4015"/>
    <w:rsid w:val="20E651AE"/>
    <w:rsid w:val="20EC3F40"/>
    <w:rsid w:val="212E607E"/>
    <w:rsid w:val="21A842C7"/>
    <w:rsid w:val="21EF4280"/>
    <w:rsid w:val="220F6F4A"/>
    <w:rsid w:val="221D0E35"/>
    <w:rsid w:val="224E322A"/>
    <w:rsid w:val="225F2DF6"/>
    <w:rsid w:val="22785881"/>
    <w:rsid w:val="22F57EC0"/>
    <w:rsid w:val="23175156"/>
    <w:rsid w:val="233550AC"/>
    <w:rsid w:val="234838C5"/>
    <w:rsid w:val="236F176F"/>
    <w:rsid w:val="237E534A"/>
    <w:rsid w:val="23942ECE"/>
    <w:rsid w:val="23CB53CB"/>
    <w:rsid w:val="240D4A36"/>
    <w:rsid w:val="2420637E"/>
    <w:rsid w:val="24514AC4"/>
    <w:rsid w:val="248145CE"/>
    <w:rsid w:val="24D9703C"/>
    <w:rsid w:val="24FD6EB0"/>
    <w:rsid w:val="251E1338"/>
    <w:rsid w:val="25593F53"/>
    <w:rsid w:val="256061CD"/>
    <w:rsid w:val="260C78DC"/>
    <w:rsid w:val="26286440"/>
    <w:rsid w:val="2759419E"/>
    <w:rsid w:val="278B357E"/>
    <w:rsid w:val="27C47FCA"/>
    <w:rsid w:val="27CD0A06"/>
    <w:rsid w:val="27E0459D"/>
    <w:rsid w:val="281370D7"/>
    <w:rsid w:val="2867189C"/>
    <w:rsid w:val="28B2562D"/>
    <w:rsid w:val="294E0184"/>
    <w:rsid w:val="297D46EA"/>
    <w:rsid w:val="29BF6609"/>
    <w:rsid w:val="29EE4236"/>
    <w:rsid w:val="2A107EA1"/>
    <w:rsid w:val="2A18065E"/>
    <w:rsid w:val="2A18434F"/>
    <w:rsid w:val="2A7C419E"/>
    <w:rsid w:val="2ABC4CA9"/>
    <w:rsid w:val="2ACD4C7D"/>
    <w:rsid w:val="2AEA7828"/>
    <w:rsid w:val="2C712558"/>
    <w:rsid w:val="2C74148F"/>
    <w:rsid w:val="2C9420DE"/>
    <w:rsid w:val="2CDC3F4A"/>
    <w:rsid w:val="2D3078CE"/>
    <w:rsid w:val="2D825884"/>
    <w:rsid w:val="2D840AC3"/>
    <w:rsid w:val="2E172C16"/>
    <w:rsid w:val="2E192583"/>
    <w:rsid w:val="2E917373"/>
    <w:rsid w:val="2EA803AD"/>
    <w:rsid w:val="2F093C75"/>
    <w:rsid w:val="2F5B483E"/>
    <w:rsid w:val="30396CCA"/>
    <w:rsid w:val="30617326"/>
    <w:rsid w:val="30942635"/>
    <w:rsid w:val="30AA4E34"/>
    <w:rsid w:val="30AF5518"/>
    <w:rsid w:val="30CE387C"/>
    <w:rsid w:val="30ED390A"/>
    <w:rsid w:val="30EF279C"/>
    <w:rsid w:val="311846BA"/>
    <w:rsid w:val="311C0FA2"/>
    <w:rsid w:val="312934FA"/>
    <w:rsid w:val="314306EF"/>
    <w:rsid w:val="315C4BBC"/>
    <w:rsid w:val="31A87524"/>
    <w:rsid w:val="32321442"/>
    <w:rsid w:val="325742E7"/>
    <w:rsid w:val="3261507D"/>
    <w:rsid w:val="326C7146"/>
    <w:rsid w:val="3278467D"/>
    <w:rsid w:val="32D75CFD"/>
    <w:rsid w:val="332B24E1"/>
    <w:rsid w:val="333172E2"/>
    <w:rsid w:val="339755AD"/>
    <w:rsid w:val="33BD070F"/>
    <w:rsid w:val="33E13D7E"/>
    <w:rsid w:val="346E7B0F"/>
    <w:rsid w:val="34891FAA"/>
    <w:rsid w:val="34DA7405"/>
    <w:rsid w:val="3525254D"/>
    <w:rsid w:val="3546319D"/>
    <w:rsid w:val="356D181F"/>
    <w:rsid w:val="35EC364C"/>
    <w:rsid w:val="363975E0"/>
    <w:rsid w:val="364527D0"/>
    <w:rsid w:val="3682654A"/>
    <w:rsid w:val="369B3F26"/>
    <w:rsid w:val="36A83D73"/>
    <w:rsid w:val="36B61B97"/>
    <w:rsid w:val="36C66B82"/>
    <w:rsid w:val="36E4544E"/>
    <w:rsid w:val="36E82648"/>
    <w:rsid w:val="37246214"/>
    <w:rsid w:val="3742644A"/>
    <w:rsid w:val="374537CE"/>
    <w:rsid w:val="3786541B"/>
    <w:rsid w:val="37A30785"/>
    <w:rsid w:val="37D17D8C"/>
    <w:rsid w:val="38286997"/>
    <w:rsid w:val="38751B1E"/>
    <w:rsid w:val="38B67482"/>
    <w:rsid w:val="38DD10A8"/>
    <w:rsid w:val="38F25089"/>
    <w:rsid w:val="39220501"/>
    <w:rsid w:val="39346BA5"/>
    <w:rsid w:val="393C0FB5"/>
    <w:rsid w:val="39891022"/>
    <w:rsid w:val="39BF5D4C"/>
    <w:rsid w:val="39EF4084"/>
    <w:rsid w:val="3A4244AD"/>
    <w:rsid w:val="3A8B3A41"/>
    <w:rsid w:val="3ACE3441"/>
    <w:rsid w:val="3ACF57C1"/>
    <w:rsid w:val="3AD52C84"/>
    <w:rsid w:val="3AFB17A0"/>
    <w:rsid w:val="3B6829F2"/>
    <w:rsid w:val="3BA43B72"/>
    <w:rsid w:val="3BE049B8"/>
    <w:rsid w:val="3C051614"/>
    <w:rsid w:val="3C575D10"/>
    <w:rsid w:val="3C743CBC"/>
    <w:rsid w:val="3C784DE9"/>
    <w:rsid w:val="3C8965F4"/>
    <w:rsid w:val="3CA40A50"/>
    <w:rsid w:val="3CAE7A85"/>
    <w:rsid w:val="3CE16959"/>
    <w:rsid w:val="3D6A75A8"/>
    <w:rsid w:val="3DA346B2"/>
    <w:rsid w:val="3DC23245"/>
    <w:rsid w:val="3DC547E7"/>
    <w:rsid w:val="3DD75CDB"/>
    <w:rsid w:val="3DE05693"/>
    <w:rsid w:val="3DF04754"/>
    <w:rsid w:val="3E187429"/>
    <w:rsid w:val="3E4163B7"/>
    <w:rsid w:val="3E516C76"/>
    <w:rsid w:val="3E83004E"/>
    <w:rsid w:val="3EA84C1E"/>
    <w:rsid w:val="3EEB00F2"/>
    <w:rsid w:val="3F25044D"/>
    <w:rsid w:val="3F711DF9"/>
    <w:rsid w:val="3F9635F1"/>
    <w:rsid w:val="3FB629DB"/>
    <w:rsid w:val="3FF259EA"/>
    <w:rsid w:val="402933F7"/>
    <w:rsid w:val="408C466F"/>
    <w:rsid w:val="40DD4B1E"/>
    <w:rsid w:val="417F43AF"/>
    <w:rsid w:val="419D6054"/>
    <w:rsid w:val="42012F26"/>
    <w:rsid w:val="42551627"/>
    <w:rsid w:val="42760E9B"/>
    <w:rsid w:val="42A64D86"/>
    <w:rsid w:val="42D86C2D"/>
    <w:rsid w:val="42F90DD2"/>
    <w:rsid w:val="42FB7B44"/>
    <w:rsid w:val="430A4CCE"/>
    <w:rsid w:val="43287A2A"/>
    <w:rsid w:val="43450D45"/>
    <w:rsid w:val="435C03E0"/>
    <w:rsid w:val="43735ECA"/>
    <w:rsid w:val="437563B2"/>
    <w:rsid w:val="43771580"/>
    <w:rsid w:val="4381206A"/>
    <w:rsid w:val="43875945"/>
    <w:rsid w:val="43A76ABB"/>
    <w:rsid w:val="43F40443"/>
    <w:rsid w:val="44201F89"/>
    <w:rsid w:val="445A47A6"/>
    <w:rsid w:val="4476177F"/>
    <w:rsid w:val="44765B87"/>
    <w:rsid w:val="44A94D63"/>
    <w:rsid w:val="44B82FFE"/>
    <w:rsid w:val="453D4382"/>
    <w:rsid w:val="45657B4D"/>
    <w:rsid w:val="45782515"/>
    <w:rsid w:val="45A303DF"/>
    <w:rsid w:val="45F66478"/>
    <w:rsid w:val="465874DC"/>
    <w:rsid w:val="468764DD"/>
    <w:rsid w:val="46B0173E"/>
    <w:rsid w:val="46B45E61"/>
    <w:rsid w:val="47847600"/>
    <w:rsid w:val="478B2290"/>
    <w:rsid w:val="478F6349"/>
    <w:rsid w:val="482C1D16"/>
    <w:rsid w:val="4838618F"/>
    <w:rsid w:val="48B34F1E"/>
    <w:rsid w:val="48E206AA"/>
    <w:rsid w:val="48EF0448"/>
    <w:rsid w:val="4A147F9F"/>
    <w:rsid w:val="4A1A38BC"/>
    <w:rsid w:val="4A2819DA"/>
    <w:rsid w:val="4A6307A8"/>
    <w:rsid w:val="4AC365BE"/>
    <w:rsid w:val="4B23609F"/>
    <w:rsid w:val="4B337CD1"/>
    <w:rsid w:val="4B5910BD"/>
    <w:rsid w:val="4BB62D24"/>
    <w:rsid w:val="4BCA760D"/>
    <w:rsid w:val="4C086BF2"/>
    <w:rsid w:val="4C681DAD"/>
    <w:rsid w:val="4C904E48"/>
    <w:rsid w:val="4CA6358F"/>
    <w:rsid w:val="4CF13C83"/>
    <w:rsid w:val="4CF56BA6"/>
    <w:rsid w:val="4CFC4103"/>
    <w:rsid w:val="4D222610"/>
    <w:rsid w:val="4D8F54F4"/>
    <w:rsid w:val="4E0A5FE2"/>
    <w:rsid w:val="4E483A99"/>
    <w:rsid w:val="4E560DDD"/>
    <w:rsid w:val="4EC06069"/>
    <w:rsid w:val="4FD006A3"/>
    <w:rsid w:val="502D045B"/>
    <w:rsid w:val="5072726E"/>
    <w:rsid w:val="509E3FB5"/>
    <w:rsid w:val="50D040DC"/>
    <w:rsid w:val="50F76A85"/>
    <w:rsid w:val="514C5BEE"/>
    <w:rsid w:val="51B87B23"/>
    <w:rsid w:val="51C615D4"/>
    <w:rsid w:val="521E5E59"/>
    <w:rsid w:val="529F19C6"/>
    <w:rsid w:val="52D25E96"/>
    <w:rsid w:val="52D9392C"/>
    <w:rsid w:val="53516E17"/>
    <w:rsid w:val="53EA6C3F"/>
    <w:rsid w:val="54327ADE"/>
    <w:rsid w:val="54802145"/>
    <w:rsid w:val="549F3E4E"/>
    <w:rsid w:val="54A26135"/>
    <w:rsid w:val="54D35669"/>
    <w:rsid w:val="54D940C9"/>
    <w:rsid w:val="552603C0"/>
    <w:rsid w:val="558A0D21"/>
    <w:rsid w:val="55A3228D"/>
    <w:rsid w:val="55AC544A"/>
    <w:rsid w:val="55C27D35"/>
    <w:rsid w:val="55E61AA6"/>
    <w:rsid w:val="55EC7275"/>
    <w:rsid w:val="5690577E"/>
    <w:rsid w:val="56B00CC9"/>
    <w:rsid w:val="56D13851"/>
    <w:rsid w:val="57760BB6"/>
    <w:rsid w:val="578957B7"/>
    <w:rsid w:val="57F11C23"/>
    <w:rsid w:val="580A5293"/>
    <w:rsid w:val="58A607B5"/>
    <w:rsid w:val="58AF59FA"/>
    <w:rsid w:val="58B47A34"/>
    <w:rsid w:val="58D14336"/>
    <w:rsid w:val="58D17A8E"/>
    <w:rsid w:val="59093426"/>
    <w:rsid w:val="59122E26"/>
    <w:rsid w:val="591F1360"/>
    <w:rsid w:val="592B7562"/>
    <w:rsid w:val="595F5FB6"/>
    <w:rsid w:val="59FF302A"/>
    <w:rsid w:val="5A3F2B9A"/>
    <w:rsid w:val="5A4F4218"/>
    <w:rsid w:val="5A9E62CB"/>
    <w:rsid w:val="5B61455E"/>
    <w:rsid w:val="5B640B8E"/>
    <w:rsid w:val="5B804ECE"/>
    <w:rsid w:val="5B887C70"/>
    <w:rsid w:val="5BCE4E4F"/>
    <w:rsid w:val="5BDA6EA6"/>
    <w:rsid w:val="5C2F1919"/>
    <w:rsid w:val="5C3A0367"/>
    <w:rsid w:val="5C5201E2"/>
    <w:rsid w:val="5D117F77"/>
    <w:rsid w:val="5D2914A5"/>
    <w:rsid w:val="5D5C5867"/>
    <w:rsid w:val="5D5D2E00"/>
    <w:rsid w:val="5D8663C7"/>
    <w:rsid w:val="5D8F2F5A"/>
    <w:rsid w:val="5DD51CE9"/>
    <w:rsid w:val="5DDB5F32"/>
    <w:rsid w:val="5E0D4C3C"/>
    <w:rsid w:val="5E2E4B10"/>
    <w:rsid w:val="5E9A58E5"/>
    <w:rsid w:val="5ECE651E"/>
    <w:rsid w:val="5EEB5CE7"/>
    <w:rsid w:val="5F1B2C93"/>
    <w:rsid w:val="5F9749F2"/>
    <w:rsid w:val="5F9A1CEB"/>
    <w:rsid w:val="60005700"/>
    <w:rsid w:val="601E3C4E"/>
    <w:rsid w:val="606F691F"/>
    <w:rsid w:val="60D2327D"/>
    <w:rsid w:val="61335EED"/>
    <w:rsid w:val="613A0A5B"/>
    <w:rsid w:val="617940FB"/>
    <w:rsid w:val="61B56E72"/>
    <w:rsid w:val="621105E9"/>
    <w:rsid w:val="622F072D"/>
    <w:rsid w:val="62666CC8"/>
    <w:rsid w:val="62723D9C"/>
    <w:rsid w:val="62834951"/>
    <w:rsid w:val="62CF41D1"/>
    <w:rsid w:val="63076802"/>
    <w:rsid w:val="63BB0D30"/>
    <w:rsid w:val="63BF38BE"/>
    <w:rsid w:val="64197333"/>
    <w:rsid w:val="64AC3DBD"/>
    <w:rsid w:val="65043DC0"/>
    <w:rsid w:val="65173321"/>
    <w:rsid w:val="652D0E41"/>
    <w:rsid w:val="65510938"/>
    <w:rsid w:val="65835C74"/>
    <w:rsid w:val="65F96C69"/>
    <w:rsid w:val="66066DD6"/>
    <w:rsid w:val="6613639F"/>
    <w:rsid w:val="665B33F3"/>
    <w:rsid w:val="667354F0"/>
    <w:rsid w:val="667A3F84"/>
    <w:rsid w:val="667A6619"/>
    <w:rsid w:val="6705723F"/>
    <w:rsid w:val="674203BE"/>
    <w:rsid w:val="675D15BB"/>
    <w:rsid w:val="67B00A56"/>
    <w:rsid w:val="67CB22B8"/>
    <w:rsid w:val="68077758"/>
    <w:rsid w:val="680D4691"/>
    <w:rsid w:val="68125C22"/>
    <w:rsid w:val="681B2FDF"/>
    <w:rsid w:val="68475461"/>
    <w:rsid w:val="68BE4E1C"/>
    <w:rsid w:val="695C047D"/>
    <w:rsid w:val="696A2E0E"/>
    <w:rsid w:val="6A1D2473"/>
    <w:rsid w:val="6A212347"/>
    <w:rsid w:val="6AA80893"/>
    <w:rsid w:val="6ACE2BF0"/>
    <w:rsid w:val="6AD647DB"/>
    <w:rsid w:val="6B075FB5"/>
    <w:rsid w:val="6B8C3CD2"/>
    <w:rsid w:val="6BAB6CDE"/>
    <w:rsid w:val="6C0A0490"/>
    <w:rsid w:val="6C3D038B"/>
    <w:rsid w:val="6C612A86"/>
    <w:rsid w:val="6C7739D3"/>
    <w:rsid w:val="6C8D282E"/>
    <w:rsid w:val="6C94456C"/>
    <w:rsid w:val="6CD71F26"/>
    <w:rsid w:val="6CDC1CA8"/>
    <w:rsid w:val="6D046AE2"/>
    <w:rsid w:val="6D1A56AE"/>
    <w:rsid w:val="6D4D5396"/>
    <w:rsid w:val="6D5072B0"/>
    <w:rsid w:val="6D7F6F59"/>
    <w:rsid w:val="6DB50D38"/>
    <w:rsid w:val="6DC407E6"/>
    <w:rsid w:val="6DDD0816"/>
    <w:rsid w:val="6DEF4DC6"/>
    <w:rsid w:val="6E2A4F03"/>
    <w:rsid w:val="6E6B7956"/>
    <w:rsid w:val="6EB208CE"/>
    <w:rsid w:val="6EE13322"/>
    <w:rsid w:val="6F2E085C"/>
    <w:rsid w:val="6F3D08D5"/>
    <w:rsid w:val="6F8A303C"/>
    <w:rsid w:val="705F34E0"/>
    <w:rsid w:val="70993AA7"/>
    <w:rsid w:val="70A5176C"/>
    <w:rsid w:val="70F70F78"/>
    <w:rsid w:val="71136E95"/>
    <w:rsid w:val="71160FCD"/>
    <w:rsid w:val="71275730"/>
    <w:rsid w:val="71410888"/>
    <w:rsid w:val="71421726"/>
    <w:rsid w:val="7151282D"/>
    <w:rsid w:val="71960AB8"/>
    <w:rsid w:val="71B911D5"/>
    <w:rsid w:val="720429CC"/>
    <w:rsid w:val="7204381F"/>
    <w:rsid w:val="72500A54"/>
    <w:rsid w:val="72C92E53"/>
    <w:rsid w:val="731753AD"/>
    <w:rsid w:val="734258F5"/>
    <w:rsid w:val="738D6B14"/>
    <w:rsid w:val="73987463"/>
    <w:rsid w:val="73CD639B"/>
    <w:rsid w:val="73EE11C4"/>
    <w:rsid w:val="73FB6D30"/>
    <w:rsid w:val="73FD7C02"/>
    <w:rsid w:val="74011D9B"/>
    <w:rsid w:val="741E6AAB"/>
    <w:rsid w:val="74537E22"/>
    <w:rsid w:val="748773BC"/>
    <w:rsid w:val="74BB0B0F"/>
    <w:rsid w:val="756B7A21"/>
    <w:rsid w:val="757933E5"/>
    <w:rsid w:val="75973655"/>
    <w:rsid w:val="75EA62BA"/>
    <w:rsid w:val="763D5A07"/>
    <w:rsid w:val="76864E0B"/>
    <w:rsid w:val="76960703"/>
    <w:rsid w:val="76BB2CC6"/>
    <w:rsid w:val="772B124E"/>
    <w:rsid w:val="77350177"/>
    <w:rsid w:val="773568FA"/>
    <w:rsid w:val="77F77192"/>
    <w:rsid w:val="7857753B"/>
    <w:rsid w:val="78F745A5"/>
    <w:rsid w:val="793D03AB"/>
    <w:rsid w:val="79651385"/>
    <w:rsid w:val="79A04295"/>
    <w:rsid w:val="79C24E5C"/>
    <w:rsid w:val="7A0C3FFA"/>
    <w:rsid w:val="7A342A90"/>
    <w:rsid w:val="7A6D3D11"/>
    <w:rsid w:val="7A8D0EBD"/>
    <w:rsid w:val="7B3A1F6B"/>
    <w:rsid w:val="7B877A63"/>
    <w:rsid w:val="7C1461DC"/>
    <w:rsid w:val="7C17374E"/>
    <w:rsid w:val="7C1F0453"/>
    <w:rsid w:val="7C214BB4"/>
    <w:rsid w:val="7C62777A"/>
    <w:rsid w:val="7C8E794B"/>
    <w:rsid w:val="7D040099"/>
    <w:rsid w:val="7D5A592C"/>
    <w:rsid w:val="7DD96484"/>
    <w:rsid w:val="7DF11555"/>
    <w:rsid w:val="7E12666D"/>
    <w:rsid w:val="7E7E271D"/>
    <w:rsid w:val="7EA70A12"/>
    <w:rsid w:val="7EAD4B41"/>
    <w:rsid w:val="7EC300BC"/>
    <w:rsid w:val="7EF20360"/>
    <w:rsid w:val="7EF71430"/>
    <w:rsid w:val="7F000B22"/>
    <w:rsid w:val="7F14105C"/>
    <w:rsid w:val="7F2B7F35"/>
    <w:rsid w:val="7F9B065D"/>
    <w:rsid w:val="7FB81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8">
    <w:name w:val="heading 1"/>
    <w:basedOn w:val="1"/>
    <w:next w:val="1"/>
    <w:link w:val="58"/>
    <w:qFormat/>
    <w:uiPriority w:val="0"/>
    <w:pPr>
      <w:keepNext/>
      <w:keepLines/>
      <w:spacing w:before="340" w:after="330" w:line="576" w:lineRule="auto"/>
      <w:outlineLvl w:val="0"/>
    </w:pPr>
    <w:rPr>
      <w:b/>
      <w:bCs/>
      <w:kern w:val="44"/>
      <w:sz w:val="44"/>
      <w:szCs w:val="44"/>
    </w:rPr>
  </w:style>
  <w:style w:type="paragraph" w:styleId="9">
    <w:name w:val="heading 2"/>
    <w:basedOn w:val="1"/>
    <w:next w:val="1"/>
    <w:link w:val="59"/>
    <w:qFormat/>
    <w:uiPriority w:val="0"/>
    <w:pPr>
      <w:keepNext/>
      <w:keepLines/>
      <w:spacing w:before="260" w:after="260" w:line="413" w:lineRule="auto"/>
      <w:outlineLvl w:val="1"/>
    </w:pPr>
    <w:rPr>
      <w:rFonts w:ascii="Arial" w:hAnsi="Arial" w:eastAsia="黑体" w:cs="Arial"/>
      <w:b/>
      <w:bCs/>
      <w:sz w:val="32"/>
      <w:szCs w:val="32"/>
    </w:rPr>
  </w:style>
  <w:style w:type="paragraph" w:styleId="10">
    <w:name w:val="heading 3"/>
    <w:basedOn w:val="1"/>
    <w:next w:val="1"/>
    <w:link w:val="61"/>
    <w:qFormat/>
    <w:uiPriority w:val="0"/>
    <w:pPr>
      <w:keepNext/>
      <w:keepLines/>
      <w:spacing w:before="260" w:after="260" w:line="413" w:lineRule="auto"/>
      <w:outlineLvl w:val="2"/>
    </w:pPr>
    <w:rPr>
      <w:b/>
      <w:bCs/>
      <w:sz w:val="32"/>
      <w:szCs w:val="32"/>
    </w:rPr>
  </w:style>
  <w:style w:type="paragraph" w:styleId="11">
    <w:name w:val="heading 4"/>
    <w:basedOn w:val="1"/>
    <w:next w:val="1"/>
    <w:link w:val="215"/>
    <w:qFormat/>
    <w:uiPriority w:val="0"/>
    <w:pPr>
      <w:keepNext/>
      <w:keepLines/>
      <w:spacing w:before="280" w:after="290" w:line="372" w:lineRule="auto"/>
      <w:outlineLvl w:val="3"/>
    </w:pPr>
    <w:rPr>
      <w:rFonts w:ascii="Arial" w:hAnsi="Arial" w:cs="Arial"/>
      <w:sz w:val="28"/>
      <w:szCs w:val="28"/>
    </w:rPr>
  </w:style>
  <w:style w:type="paragraph" w:styleId="12">
    <w:name w:val="heading 5"/>
    <w:basedOn w:val="1"/>
    <w:next w:val="1"/>
    <w:link w:val="63"/>
    <w:qFormat/>
    <w:uiPriority w:val="0"/>
    <w:pPr>
      <w:tabs>
        <w:tab w:val="left" w:pos="1008"/>
      </w:tabs>
      <w:spacing w:before="60" w:after="60" w:line="240" w:lineRule="atLeast"/>
      <w:ind w:left="1008" w:hanging="1008"/>
      <w:outlineLvl w:val="4"/>
    </w:pPr>
    <w:rPr>
      <w:rFonts w:ascii="Arial" w:hAnsi="Arial" w:eastAsia="黑体"/>
      <w:b/>
      <w:sz w:val="24"/>
      <w:szCs w:val="20"/>
    </w:rPr>
  </w:style>
  <w:style w:type="paragraph" w:styleId="13">
    <w:name w:val="heading 6"/>
    <w:basedOn w:val="1"/>
    <w:next w:val="1"/>
    <w:link w:val="64"/>
    <w:qFormat/>
    <w:uiPriority w:val="0"/>
    <w:pPr>
      <w:keepNext/>
      <w:keepLines/>
      <w:spacing w:before="240" w:after="64" w:line="317" w:lineRule="auto"/>
      <w:outlineLvl w:val="5"/>
    </w:pPr>
    <w:rPr>
      <w:rFonts w:ascii="Arial" w:hAnsi="Arial" w:eastAsia="黑体" w:cs="Arial"/>
      <w:b/>
      <w:bCs/>
      <w:sz w:val="24"/>
      <w:szCs w:val="24"/>
    </w:rPr>
  </w:style>
  <w:style w:type="paragraph" w:styleId="14">
    <w:name w:val="heading 7"/>
    <w:basedOn w:val="1"/>
    <w:next w:val="1"/>
    <w:link w:val="65"/>
    <w:qFormat/>
    <w:uiPriority w:val="0"/>
    <w:pPr>
      <w:keepNext/>
      <w:keepLines/>
      <w:tabs>
        <w:tab w:val="left" w:pos="1296"/>
      </w:tabs>
      <w:spacing w:before="240" w:after="64" w:line="320" w:lineRule="auto"/>
      <w:ind w:left="1296" w:hanging="1296"/>
      <w:outlineLvl w:val="6"/>
    </w:pPr>
    <w:rPr>
      <w:b/>
      <w:bCs/>
      <w:sz w:val="24"/>
      <w:szCs w:val="24"/>
    </w:rPr>
  </w:style>
  <w:style w:type="paragraph" w:styleId="15">
    <w:name w:val="heading 8"/>
    <w:basedOn w:val="1"/>
    <w:next w:val="1"/>
    <w:link w:val="66"/>
    <w:qFormat/>
    <w:uiPriority w:val="0"/>
    <w:pPr>
      <w:keepNext/>
      <w:keepLines/>
      <w:spacing w:before="240" w:after="64" w:line="320" w:lineRule="auto"/>
      <w:outlineLvl w:val="7"/>
    </w:pPr>
    <w:rPr>
      <w:rFonts w:ascii="等线 Light" w:hAnsi="等线 Light" w:eastAsia="等线 Light"/>
      <w:sz w:val="24"/>
      <w:szCs w:val="24"/>
    </w:rPr>
  </w:style>
  <w:style w:type="paragraph" w:styleId="16">
    <w:name w:val="heading 9"/>
    <w:basedOn w:val="1"/>
    <w:next w:val="1"/>
    <w:link w:val="67"/>
    <w:qFormat/>
    <w:uiPriority w:val="0"/>
    <w:pPr>
      <w:keepNext/>
      <w:keepLines/>
      <w:tabs>
        <w:tab w:val="left" w:pos="1584"/>
      </w:tabs>
      <w:spacing w:before="240" w:after="64" w:line="320" w:lineRule="auto"/>
      <w:ind w:left="1584" w:hanging="1584"/>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7"/>
    <w:qFormat/>
    <w:uiPriority w:val="0"/>
    <w:pPr>
      <w:ind w:firstLine="420" w:firstLineChars="200"/>
    </w:pPr>
    <w:rPr>
      <w:rFonts w:ascii="Calibri" w:hAnsi="Calibri"/>
      <w:szCs w:val="24"/>
    </w:rPr>
  </w:style>
  <w:style w:type="paragraph" w:styleId="3">
    <w:name w:val="Body Text Indent"/>
    <w:basedOn w:val="4"/>
    <w:next w:val="6"/>
    <w:qFormat/>
    <w:uiPriority w:val="0"/>
    <w:pPr>
      <w:ind w:left="420" w:leftChars="200"/>
    </w:pPr>
  </w:style>
  <w:style w:type="paragraph" w:styleId="4">
    <w:name w:val="Body Text"/>
    <w:basedOn w:val="1"/>
    <w:next w:val="5"/>
    <w:link w:val="57"/>
    <w:qFormat/>
    <w:uiPriority w:val="0"/>
    <w:pPr>
      <w:spacing w:after="120"/>
    </w:pPr>
  </w:style>
  <w:style w:type="paragraph" w:styleId="5">
    <w:name w:val="Body Text 2"/>
    <w:basedOn w:val="1"/>
    <w:next w:val="4"/>
    <w:link w:val="78"/>
    <w:qFormat/>
    <w:uiPriority w:val="0"/>
    <w:pPr>
      <w:spacing w:after="120" w:line="480" w:lineRule="auto"/>
    </w:pPr>
    <w:rPr>
      <w:szCs w:val="24"/>
    </w:rPr>
  </w:style>
  <w:style w:type="paragraph" w:styleId="6">
    <w:name w:val="envelope return"/>
    <w:basedOn w:val="1"/>
    <w:qFormat/>
    <w:uiPriority w:val="0"/>
    <w:pPr>
      <w:snapToGrid w:val="0"/>
    </w:pPr>
    <w:rPr>
      <w:rFonts w:ascii="Arial" w:hAnsi="Arial"/>
    </w:rPr>
  </w:style>
  <w:style w:type="paragraph" w:styleId="7">
    <w:name w:val="Body Text First Indent"/>
    <w:basedOn w:val="4"/>
    <w:next w:val="4"/>
    <w:link w:val="81"/>
    <w:qFormat/>
    <w:uiPriority w:val="0"/>
    <w:pPr>
      <w:ind w:firstLine="420" w:firstLineChars="100"/>
    </w:pPr>
  </w:style>
  <w:style w:type="paragraph" w:styleId="17">
    <w:name w:val="table of authorities"/>
    <w:basedOn w:val="1"/>
    <w:next w:val="1"/>
    <w:qFormat/>
    <w:uiPriority w:val="0"/>
    <w:pPr>
      <w:ind w:left="420" w:leftChars="200"/>
    </w:pPr>
  </w:style>
  <w:style w:type="paragraph" w:styleId="18">
    <w:name w:val="index 8"/>
    <w:basedOn w:val="1"/>
    <w:next w:val="1"/>
    <w:qFormat/>
    <w:uiPriority w:val="0"/>
    <w:pPr>
      <w:ind w:left="2940"/>
    </w:pPr>
  </w:style>
  <w:style w:type="paragraph" w:styleId="19">
    <w:name w:val="List Number"/>
    <w:basedOn w:val="1"/>
    <w:qFormat/>
    <w:uiPriority w:val="0"/>
    <w:pPr>
      <w:numPr>
        <w:ilvl w:val="0"/>
        <w:numId w:val="1"/>
      </w:numPr>
    </w:pPr>
  </w:style>
  <w:style w:type="paragraph" w:styleId="20">
    <w:name w:val="Normal Indent"/>
    <w:basedOn w:val="1"/>
    <w:next w:val="1"/>
    <w:link w:val="60"/>
    <w:qFormat/>
    <w:uiPriority w:val="0"/>
    <w:pPr>
      <w:ind w:firstLine="420"/>
    </w:pPr>
  </w:style>
  <w:style w:type="paragraph" w:styleId="21">
    <w:name w:val="caption"/>
    <w:basedOn w:val="1"/>
    <w:next w:val="1"/>
    <w:qFormat/>
    <w:uiPriority w:val="0"/>
    <w:pPr>
      <w:widowControl/>
      <w:jc w:val="left"/>
    </w:pPr>
    <w:rPr>
      <w:rFonts w:ascii="Arial" w:hAnsi="Arial" w:eastAsia="黑体" w:cs="Arial"/>
      <w:kern w:val="0"/>
      <w:sz w:val="20"/>
      <w:szCs w:val="20"/>
    </w:rPr>
  </w:style>
  <w:style w:type="paragraph" w:styleId="22">
    <w:name w:val="List Bullet"/>
    <w:basedOn w:val="1"/>
    <w:qFormat/>
    <w:uiPriority w:val="0"/>
    <w:pPr>
      <w:tabs>
        <w:tab w:val="left" w:pos="420"/>
      </w:tabs>
      <w:ind w:left="420" w:hanging="420"/>
    </w:pPr>
    <w:rPr>
      <w:szCs w:val="24"/>
    </w:rPr>
  </w:style>
  <w:style w:type="paragraph" w:styleId="23">
    <w:name w:val="Document Map"/>
    <w:basedOn w:val="1"/>
    <w:link w:val="68"/>
    <w:qFormat/>
    <w:uiPriority w:val="0"/>
    <w:pPr>
      <w:shd w:val="clear" w:color="auto" w:fill="000080"/>
    </w:pPr>
    <w:rPr>
      <w:szCs w:val="24"/>
    </w:rPr>
  </w:style>
  <w:style w:type="paragraph" w:styleId="24">
    <w:name w:val="annotation text"/>
    <w:basedOn w:val="1"/>
    <w:link w:val="69"/>
    <w:qFormat/>
    <w:uiPriority w:val="0"/>
    <w:pPr>
      <w:jc w:val="left"/>
    </w:pPr>
  </w:style>
  <w:style w:type="paragraph" w:styleId="25">
    <w:name w:val="Body Text 3"/>
    <w:basedOn w:val="1"/>
    <w:link w:val="70"/>
    <w:qFormat/>
    <w:uiPriority w:val="0"/>
    <w:pPr>
      <w:spacing w:after="120"/>
    </w:pPr>
    <w:rPr>
      <w:sz w:val="16"/>
      <w:szCs w:val="16"/>
    </w:rPr>
  </w:style>
  <w:style w:type="paragraph" w:styleId="26">
    <w:name w:val="Block Text"/>
    <w:basedOn w:val="1"/>
    <w:qFormat/>
    <w:uiPriority w:val="0"/>
    <w:pPr>
      <w:spacing w:line="312" w:lineRule="auto"/>
      <w:ind w:left="785" w:right="180" w:firstLine="420"/>
    </w:pPr>
    <w:rPr>
      <w:rFonts w:hAnsi="宋体"/>
      <w:color w:val="FF0000"/>
      <w:sz w:val="20"/>
      <w:szCs w:val="20"/>
    </w:rPr>
  </w:style>
  <w:style w:type="paragraph" w:styleId="27">
    <w:name w:val="toc 3"/>
    <w:basedOn w:val="1"/>
    <w:next w:val="1"/>
    <w:qFormat/>
    <w:uiPriority w:val="0"/>
    <w:pPr>
      <w:ind w:left="420"/>
      <w:jc w:val="left"/>
    </w:pPr>
    <w:rPr>
      <w:i/>
      <w:iCs/>
      <w:sz w:val="20"/>
      <w:szCs w:val="20"/>
    </w:rPr>
  </w:style>
  <w:style w:type="paragraph" w:styleId="28">
    <w:name w:val="Plain Text"/>
    <w:basedOn w:val="1"/>
    <w:next w:val="18"/>
    <w:link w:val="71"/>
    <w:qFormat/>
    <w:uiPriority w:val="0"/>
    <w:rPr>
      <w:rFonts w:ascii="宋体" w:hAnsi="Courier New" w:eastAsia="等线" w:cs="宋体"/>
    </w:rPr>
  </w:style>
  <w:style w:type="paragraph" w:styleId="29">
    <w:name w:val="Date"/>
    <w:basedOn w:val="1"/>
    <w:next w:val="1"/>
    <w:link w:val="72"/>
    <w:qFormat/>
    <w:uiPriority w:val="0"/>
    <w:pPr>
      <w:ind w:left="100" w:leftChars="2500"/>
    </w:pPr>
  </w:style>
  <w:style w:type="paragraph" w:styleId="30">
    <w:name w:val="Body Text Indent 2"/>
    <w:basedOn w:val="1"/>
    <w:link w:val="73"/>
    <w:qFormat/>
    <w:uiPriority w:val="0"/>
    <w:pPr>
      <w:spacing w:after="120" w:line="480" w:lineRule="auto"/>
      <w:ind w:left="420" w:leftChars="200"/>
    </w:pPr>
    <w:rPr>
      <w:rFonts w:ascii="等线" w:hAnsi="等线" w:eastAsia="等线"/>
      <w:sz w:val="24"/>
      <w:szCs w:val="24"/>
    </w:rPr>
  </w:style>
  <w:style w:type="paragraph" w:styleId="31">
    <w:name w:val="Balloon Text"/>
    <w:basedOn w:val="1"/>
    <w:link w:val="74"/>
    <w:qFormat/>
    <w:uiPriority w:val="0"/>
    <w:rPr>
      <w:sz w:val="18"/>
      <w:szCs w:val="18"/>
    </w:rPr>
  </w:style>
  <w:style w:type="paragraph" w:styleId="32">
    <w:name w:val="footer"/>
    <w:basedOn w:val="1"/>
    <w:link w:val="75"/>
    <w:qFormat/>
    <w:uiPriority w:val="0"/>
    <w:pPr>
      <w:tabs>
        <w:tab w:val="center" w:pos="4153"/>
        <w:tab w:val="right" w:pos="8306"/>
      </w:tabs>
      <w:snapToGrid w:val="0"/>
      <w:jc w:val="left"/>
    </w:pPr>
    <w:rPr>
      <w:sz w:val="18"/>
      <w:szCs w:val="18"/>
    </w:rPr>
  </w:style>
  <w:style w:type="paragraph" w:styleId="33">
    <w:name w:val="header"/>
    <w:basedOn w:val="1"/>
    <w:link w:val="76"/>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0"/>
    <w:pPr>
      <w:spacing w:before="120" w:after="120"/>
      <w:jc w:val="left"/>
    </w:pPr>
    <w:rPr>
      <w:b/>
      <w:bCs/>
      <w:caps/>
      <w:sz w:val="20"/>
      <w:szCs w:val="20"/>
    </w:rPr>
  </w:style>
  <w:style w:type="paragraph" w:styleId="35">
    <w:name w:val="toc 4"/>
    <w:basedOn w:val="1"/>
    <w:next w:val="1"/>
    <w:qFormat/>
    <w:uiPriority w:val="0"/>
    <w:pPr>
      <w:ind w:left="630"/>
      <w:jc w:val="left"/>
    </w:pPr>
    <w:rPr>
      <w:sz w:val="18"/>
      <w:szCs w:val="18"/>
    </w:rPr>
  </w:style>
  <w:style w:type="paragraph" w:styleId="36">
    <w:name w:val="Body Text Indent 3"/>
    <w:basedOn w:val="1"/>
    <w:link w:val="77"/>
    <w:qFormat/>
    <w:uiPriority w:val="0"/>
    <w:pPr>
      <w:spacing w:after="120"/>
      <w:ind w:left="420" w:leftChars="200"/>
    </w:pPr>
    <w:rPr>
      <w:sz w:val="16"/>
      <w:szCs w:val="16"/>
    </w:rPr>
  </w:style>
  <w:style w:type="paragraph" w:styleId="37">
    <w:name w:val="toc 2"/>
    <w:basedOn w:val="1"/>
    <w:next w:val="1"/>
    <w:qFormat/>
    <w:uiPriority w:val="0"/>
    <w:pPr>
      <w:ind w:left="210"/>
      <w:jc w:val="left"/>
    </w:pPr>
    <w:rPr>
      <w:smallCaps/>
      <w:sz w:val="20"/>
      <w:szCs w:val="20"/>
    </w:rPr>
  </w:style>
  <w:style w:type="paragraph" w:styleId="38">
    <w:name w:val="Message Header"/>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39">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40">
    <w:name w:val="Title"/>
    <w:basedOn w:val="1"/>
    <w:next w:val="1"/>
    <w:link w:val="79"/>
    <w:qFormat/>
    <w:uiPriority w:val="0"/>
    <w:pPr>
      <w:widowControl/>
      <w:spacing w:before="240" w:after="60"/>
      <w:jc w:val="center"/>
      <w:outlineLvl w:val="0"/>
    </w:pPr>
    <w:rPr>
      <w:rFonts w:ascii="Arial" w:hAnsi="Arial"/>
      <w:b/>
      <w:bCs/>
      <w:kern w:val="0"/>
      <w:sz w:val="32"/>
      <w:szCs w:val="32"/>
    </w:rPr>
  </w:style>
  <w:style w:type="paragraph" w:styleId="41">
    <w:name w:val="annotation subject"/>
    <w:basedOn w:val="24"/>
    <w:next w:val="24"/>
    <w:link w:val="80"/>
    <w:qFormat/>
    <w:uiPriority w:val="0"/>
    <w:rPr>
      <w:b/>
      <w:bCs/>
    </w:r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rFonts w:ascii="Times New Roman" w:hAnsi="Times New Roman" w:eastAsia="宋体" w:cs="Times New Roman"/>
      <w:b/>
      <w:bCs/>
    </w:rPr>
  </w:style>
  <w:style w:type="character" w:styleId="46">
    <w:name w:val="page number"/>
    <w:basedOn w:val="44"/>
    <w:qFormat/>
    <w:uiPriority w:val="0"/>
    <w:rPr>
      <w:rFonts w:ascii="Times New Roman" w:hAnsi="Times New Roman" w:eastAsia="宋体" w:cs="Times New Roman"/>
    </w:rPr>
  </w:style>
  <w:style w:type="character" w:styleId="47">
    <w:name w:val="Emphasis"/>
    <w:basedOn w:val="44"/>
    <w:qFormat/>
    <w:uiPriority w:val="0"/>
    <w:rPr>
      <w:i/>
    </w:rPr>
  </w:style>
  <w:style w:type="character" w:styleId="48">
    <w:name w:val="Hyperlink"/>
    <w:qFormat/>
    <w:uiPriority w:val="0"/>
    <w:rPr>
      <w:rFonts w:ascii="Times New Roman" w:hAnsi="Times New Roman" w:eastAsia="宋体" w:cs="Times New Roman"/>
      <w:color w:val="0000FF"/>
      <w:u w:val="single"/>
    </w:rPr>
  </w:style>
  <w:style w:type="character" w:styleId="49">
    <w:name w:val="annotation reference"/>
    <w:qFormat/>
    <w:uiPriority w:val="0"/>
    <w:rPr>
      <w:rFonts w:ascii="Times New Roman" w:hAnsi="Times New Roman" w:eastAsia="宋体" w:cs="Times New Roman"/>
      <w:sz w:val="21"/>
      <w:szCs w:val="21"/>
    </w:rPr>
  </w:style>
  <w:style w:type="paragraph" w:customStyle="1" w:styleId="50">
    <w:name w:val="表格文字"/>
    <w:basedOn w:val="3"/>
    <w:next w:val="4"/>
    <w:qFormat/>
    <w:uiPriority w:val="0"/>
    <w:pPr>
      <w:jc w:val="left"/>
    </w:pPr>
    <w:rPr>
      <w:bCs/>
      <w:spacing w:val="10"/>
      <w:sz w:val="24"/>
    </w:rPr>
  </w:style>
  <w:style w:type="paragraph" w:customStyle="1" w:styleId="5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2">
    <w:name w:val="目录 71"/>
    <w:next w:val="1"/>
    <w:qFormat/>
    <w:uiPriority w:val="0"/>
    <w:pPr>
      <w:wordWrap w:val="0"/>
      <w:ind w:left="2550"/>
      <w:jc w:val="both"/>
    </w:pPr>
    <w:rPr>
      <w:rFonts w:ascii="Times New Roman" w:hAnsi="Times New Roman" w:eastAsia="宋体" w:cs="Times New Roman"/>
      <w:kern w:val="2"/>
      <w:sz w:val="21"/>
      <w:szCs w:val="24"/>
      <w:lang w:val="en-US" w:eastAsia="zh-CN" w:bidi="ar-SA"/>
    </w:rPr>
  </w:style>
  <w:style w:type="paragraph" w:customStyle="1" w:styleId="53">
    <w:name w:val="Body Text First Indent 21"/>
    <w:basedOn w:val="54"/>
    <w:qFormat/>
    <w:uiPriority w:val="0"/>
    <w:pPr>
      <w:ind w:firstLine="420" w:firstLineChars="200"/>
    </w:pPr>
  </w:style>
  <w:style w:type="paragraph" w:customStyle="1" w:styleId="54">
    <w:name w:val="Body Text Indent1"/>
    <w:basedOn w:val="1"/>
    <w:qFormat/>
    <w:uiPriority w:val="0"/>
    <w:pPr>
      <w:spacing w:after="120"/>
      <w:ind w:left="420" w:leftChars="200"/>
    </w:pPr>
    <w:rPr>
      <w:rFonts w:ascii="楷体_GB2312" w:eastAsia="楷体_GB2312"/>
      <w:sz w:val="28"/>
    </w:rPr>
  </w:style>
  <w:style w:type="paragraph" w:customStyle="1" w:styleId="55">
    <w:name w:val="BodyText"/>
    <w:basedOn w:val="1"/>
    <w:qFormat/>
    <w:uiPriority w:val="0"/>
    <w:pPr>
      <w:spacing w:line="380" w:lineRule="exact"/>
    </w:pPr>
    <w:rPr>
      <w:sz w:val="24"/>
    </w:rPr>
  </w:style>
  <w:style w:type="character" w:customStyle="1" w:styleId="56">
    <w:name w:val="正文文本缩进 字符"/>
    <w:qFormat/>
    <w:uiPriority w:val="0"/>
    <w:rPr>
      <w:rFonts w:ascii="Times New Roman" w:hAnsi="Times New Roman" w:eastAsia="宋体" w:cs="Times New Roman"/>
      <w:szCs w:val="21"/>
    </w:rPr>
  </w:style>
  <w:style w:type="character" w:customStyle="1" w:styleId="57">
    <w:name w:val="正文文本 字符"/>
    <w:link w:val="4"/>
    <w:qFormat/>
    <w:uiPriority w:val="0"/>
    <w:rPr>
      <w:rFonts w:ascii="Times New Roman" w:hAnsi="Times New Roman" w:eastAsia="宋体" w:cs="Times New Roman"/>
      <w:szCs w:val="21"/>
    </w:rPr>
  </w:style>
  <w:style w:type="character" w:customStyle="1" w:styleId="58">
    <w:name w:val="标题 1 字符"/>
    <w:link w:val="8"/>
    <w:qFormat/>
    <w:uiPriority w:val="0"/>
    <w:rPr>
      <w:rFonts w:ascii="Times New Roman" w:hAnsi="Times New Roman" w:eastAsia="宋体" w:cs="Times New Roman"/>
      <w:b/>
      <w:bCs/>
      <w:kern w:val="44"/>
      <w:sz w:val="44"/>
      <w:szCs w:val="44"/>
    </w:rPr>
  </w:style>
  <w:style w:type="character" w:customStyle="1" w:styleId="59">
    <w:name w:val="标题 2 字符"/>
    <w:link w:val="9"/>
    <w:qFormat/>
    <w:uiPriority w:val="0"/>
    <w:rPr>
      <w:rFonts w:ascii="Arial" w:hAnsi="Arial" w:eastAsia="黑体" w:cs="Arial"/>
      <w:b/>
      <w:bCs/>
      <w:sz w:val="32"/>
      <w:szCs w:val="32"/>
    </w:rPr>
  </w:style>
  <w:style w:type="character" w:customStyle="1" w:styleId="60">
    <w:name w:val="正文缩进 字符1"/>
    <w:link w:val="20"/>
    <w:qFormat/>
    <w:uiPriority w:val="0"/>
    <w:rPr>
      <w:rFonts w:ascii="Times New Roman" w:hAnsi="Times New Roman" w:eastAsia="宋体" w:cs="Times New Roman"/>
      <w:szCs w:val="21"/>
    </w:rPr>
  </w:style>
  <w:style w:type="character" w:customStyle="1" w:styleId="61">
    <w:name w:val="标题 3 字符"/>
    <w:link w:val="10"/>
    <w:qFormat/>
    <w:uiPriority w:val="0"/>
    <w:rPr>
      <w:rFonts w:ascii="Times New Roman" w:hAnsi="Times New Roman" w:eastAsia="宋体" w:cs="Times New Roman"/>
      <w:b/>
      <w:bCs/>
      <w:sz w:val="32"/>
      <w:szCs w:val="32"/>
    </w:rPr>
  </w:style>
  <w:style w:type="character" w:customStyle="1" w:styleId="62">
    <w:name w:val="标题 4 字符"/>
    <w:link w:val="11"/>
    <w:qFormat/>
    <w:uiPriority w:val="0"/>
    <w:rPr>
      <w:rFonts w:ascii="Arial" w:hAnsi="Arial" w:eastAsia="宋体" w:cs="Arial"/>
      <w:sz w:val="28"/>
      <w:szCs w:val="28"/>
    </w:rPr>
  </w:style>
  <w:style w:type="character" w:customStyle="1" w:styleId="63">
    <w:name w:val="标题 5 字符"/>
    <w:link w:val="12"/>
    <w:qFormat/>
    <w:uiPriority w:val="0"/>
    <w:rPr>
      <w:rFonts w:ascii="Arial" w:hAnsi="Arial" w:eastAsia="黑体" w:cs="Times New Roman"/>
      <w:b/>
      <w:sz w:val="24"/>
      <w:szCs w:val="20"/>
    </w:rPr>
  </w:style>
  <w:style w:type="character" w:customStyle="1" w:styleId="64">
    <w:name w:val="标题 6 字符"/>
    <w:link w:val="13"/>
    <w:qFormat/>
    <w:uiPriority w:val="0"/>
    <w:rPr>
      <w:rFonts w:ascii="Arial" w:hAnsi="Arial" w:eastAsia="黑体" w:cs="Arial"/>
      <w:b/>
      <w:bCs/>
      <w:sz w:val="24"/>
      <w:szCs w:val="24"/>
    </w:rPr>
  </w:style>
  <w:style w:type="character" w:customStyle="1" w:styleId="65">
    <w:name w:val="标题 7 字符"/>
    <w:link w:val="14"/>
    <w:qFormat/>
    <w:uiPriority w:val="0"/>
    <w:rPr>
      <w:rFonts w:ascii="Times New Roman" w:hAnsi="Times New Roman" w:eastAsia="宋体" w:cs="Times New Roman"/>
      <w:b/>
      <w:bCs/>
      <w:sz w:val="24"/>
      <w:szCs w:val="24"/>
    </w:rPr>
  </w:style>
  <w:style w:type="character" w:customStyle="1" w:styleId="66">
    <w:name w:val="标题 8 字符"/>
    <w:link w:val="15"/>
    <w:qFormat/>
    <w:uiPriority w:val="0"/>
    <w:rPr>
      <w:rFonts w:ascii="等线 Light" w:hAnsi="等线 Light" w:eastAsia="等线 Light" w:cs="Times New Roman"/>
      <w:sz w:val="24"/>
      <w:szCs w:val="24"/>
    </w:rPr>
  </w:style>
  <w:style w:type="character" w:customStyle="1" w:styleId="67">
    <w:name w:val="标题 9 字符"/>
    <w:link w:val="16"/>
    <w:qFormat/>
    <w:uiPriority w:val="0"/>
    <w:rPr>
      <w:rFonts w:ascii="Arial" w:hAnsi="Arial" w:eastAsia="黑体" w:cs="Times New Roman"/>
      <w:szCs w:val="21"/>
    </w:rPr>
  </w:style>
  <w:style w:type="character" w:customStyle="1" w:styleId="68">
    <w:name w:val="文档结构图 字符"/>
    <w:link w:val="23"/>
    <w:qFormat/>
    <w:uiPriority w:val="0"/>
    <w:rPr>
      <w:rFonts w:ascii="Times New Roman" w:hAnsi="Times New Roman" w:eastAsia="宋体" w:cs="Times New Roman"/>
      <w:szCs w:val="24"/>
      <w:shd w:val="clear" w:color="auto" w:fill="000080"/>
    </w:rPr>
  </w:style>
  <w:style w:type="character" w:customStyle="1" w:styleId="69">
    <w:name w:val="批注文字 字符"/>
    <w:link w:val="24"/>
    <w:qFormat/>
    <w:uiPriority w:val="0"/>
    <w:rPr>
      <w:rFonts w:ascii="Times New Roman" w:hAnsi="Times New Roman" w:eastAsia="宋体" w:cs="Times New Roman"/>
      <w:szCs w:val="21"/>
    </w:rPr>
  </w:style>
  <w:style w:type="character" w:customStyle="1" w:styleId="70">
    <w:name w:val="正文文本 3 字符"/>
    <w:link w:val="25"/>
    <w:qFormat/>
    <w:uiPriority w:val="0"/>
    <w:rPr>
      <w:rFonts w:ascii="Times New Roman" w:hAnsi="Times New Roman" w:eastAsia="宋体" w:cs="Times New Roman"/>
      <w:sz w:val="16"/>
      <w:szCs w:val="16"/>
    </w:rPr>
  </w:style>
  <w:style w:type="character" w:customStyle="1" w:styleId="71">
    <w:name w:val="纯文本 字符"/>
    <w:link w:val="28"/>
    <w:qFormat/>
    <w:uiPriority w:val="0"/>
    <w:rPr>
      <w:rFonts w:ascii="宋体" w:hAnsi="Courier New" w:eastAsia="宋体" w:cs="宋体"/>
      <w:szCs w:val="21"/>
    </w:rPr>
  </w:style>
  <w:style w:type="character" w:customStyle="1" w:styleId="72">
    <w:name w:val="日期 字符"/>
    <w:link w:val="29"/>
    <w:qFormat/>
    <w:uiPriority w:val="0"/>
    <w:rPr>
      <w:rFonts w:ascii="Times New Roman" w:hAnsi="Times New Roman" w:eastAsia="宋体" w:cs="Times New Roman"/>
      <w:szCs w:val="21"/>
    </w:rPr>
  </w:style>
  <w:style w:type="character" w:customStyle="1" w:styleId="73">
    <w:name w:val="正文文本缩进 2 字符"/>
    <w:link w:val="30"/>
    <w:qFormat/>
    <w:uiPriority w:val="0"/>
    <w:rPr>
      <w:rFonts w:ascii="Times New Roman" w:hAnsi="Times New Roman" w:eastAsia="宋体" w:cs="Times New Roman"/>
      <w:sz w:val="24"/>
      <w:szCs w:val="24"/>
    </w:rPr>
  </w:style>
  <w:style w:type="character" w:customStyle="1" w:styleId="74">
    <w:name w:val="批注框文本 字符"/>
    <w:link w:val="31"/>
    <w:qFormat/>
    <w:uiPriority w:val="0"/>
    <w:rPr>
      <w:rFonts w:ascii="Times New Roman" w:hAnsi="Times New Roman" w:eastAsia="宋体" w:cs="Times New Roman"/>
      <w:sz w:val="18"/>
      <w:szCs w:val="18"/>
    </w:rPr>
  </w:style>
  <w:style w:type="character" w:customStyle="1" w:styleId="75">
    <w:name w:val="页脚 字符"/>
    <w:link w:val="32"/>
    <w:qFormat/>
    <w:uiPriority w:val="0"/>
    <w:rPr>
      <w:rFonts w:ascii="Times New Roman" w:hAnsi="Times New Roman" w:eastAsia="宋体" w:cs="Times New Roman"/>
      <w:sz w:val="18"/>
      <w:szCs w:val="18"/>
    </w:rPr>
  </w:style>
  <w:style w:type="character" w:customStyle="1" w:styleId="76">
    <w:name w:val="页眉 字符"/>
    <w:link w:val="33"/>
    <w:qFormat/>
    <w:uiPriority w:val="0"/>
    <w:rPr>
      <w:rFonts w:ascii="Times New Roman" w:hAnsi="Times New Roman" w:eastAsia="宋体" w:cs="Times New Roman"/>
      <w:sz w:val="18"/>
      <w:szCs w:val="18"/>
    </w:rPr>
  </w:style>
  <w:style w:type="character" w:customStyle="1" w:styleId="77">
    <w:name w:val="正文文本缩进 3 字符"/>
    <w:link w:val="36"/>
    <w:qFormat/>
    <w:uiPriority w:val="0"/>
    <w:rPr>
      <w:rFonts w:ascii="Times New Roman" w:hAnsi="Times New Roman" w:eastAsia="宋体" w:cs="Times New Roman"/>
      <w:sz w:val="16"/>
      <w:szCs w:val="16"/>
    </w:rPr>
  </w:style>
  <w:style w:type="character" w:customStyle="1" w:styleId="78">
    <w:name w:val="正文文本 2 字符"/>
    <w:link w:val="5"/>
    <w:qFormat/>
    <w:uiPriority w:val="0"/>
    <w:rPr>
      <w:rFonts w:ascii="Times New Roman" w:hAnsi="Times New Roman" w:eastAsia="宋体" w:cs="Times New Roman"/>
      <w:szCs w:val="24"/>
    </w:rPr>
  </w:style>
  <w:style w:type="character" w:customStyle="1" w:styleId="79">
    <w:name w:val="标题 字符"/>
    <w:link w:val="40"/>
    <w:qFormat/>
    <w:uiPriority w:val="0"/>
    <w:rPr>
      <w:rFonts w:ascii="Arial" w:hAnsi="Arial" w:eastAsia="宋体" w:cs="Times New Roman"/>
      <w:b/>
      <w:bCs/>
      <w:kern w:val="0"/>
      <w:sz w:val="32"/>
      <w:szCs w:val="32"/>
    </w:rPr>
  </w:style>
  <w:style w:type="character" w:customStyle="1" w:styleId="80">
    <w:name w:val="批注主题 字符"/>
    <w:link w:val="41"/>
    <w:qFormat/>
    <w:uiPriority w:val="0"/>
    <w:rPr>
      <w:rFonts w:ascii="Times New Roman" w:hAnsi="Times New Roman" w:eastAsia="宋体" w:cs="Times New Roman"/>
      <w:b/>
      <w:bCs/>
      <w:szCs w:val="21"/>
    </w:rPr>
  </w:style>
  <w:style w:type="character" w:customStyle="1" w:styleId="81">
    <w:name w:val="正文首行缩进 字符"/>
    <w:link w:val="7"/>
    <w:qFormat/>
    <w:uiPriority w:val="0"/>
    <w:rPr>
      <w:rFonts w:ascii="Times New Roman" w:hAnsi="Times New Roman" w:eastAsia="宋体" w:cs="Times New Roman"/>
      <w:szCs w:val="21"/>
    </w:rPr>
  </w:style>
  <w:style w:type="character" w:customStyle="1" w:styleId="82">
    <w:name w:val="正文缩进 字符"/>
    <w:qFormat/>
    <w:uiPriority w:val="0"/>
    <w:rPr>
      <w:rFonts w:ascii="Times New Roman" w:hAnsi="Times New Roman" w:eastAsia="宋体" w:cs="Times New Roman"/>
      <w:kern w:val="2"/>
      <w:sz w:val="21"/>
      <w:szCs w:val="21"/>
    </w:rPr>
  </w:style>
  <w:style w:type="character" w:customStyle="1" w:styleId="83">
    <w:name w:val="正文缩进 Char1"/>
    <w:qFormat/>
    <w:uiPriority w:val="0"/>
    <w:rPr>
      <w:rFonts w:ascii="Times New Roman" w:hAnsi="Times New Roman" w:eastAsia="宋体" w:cs="Times New Roman"/>
      <w:szCs w:val="24"/>
    </w:rPr>
  </w:style>
  <w:style w:type="character" w:customStyle="1" w:styleId="84">
    <w:name w:val="font51"/>
    <w:basedOn w:val="44"/>
    <w:qFormat/>
    <w:uiPriority w:val="0"/>
    <w:rPr>
      <w:rFonts w:hint="eastAsia" w:ascii="宋体" w:hAnsi="宋体" w:eastAsia="宋体" w:cs="宋体"/>
      <w:color w:val="000000"/>
      <w:sz w:val="22"/>
      <w:szCs w:val="22"/>
      <w:u w:val="none"/>
    </w:rPr>
  </w:style>
  <w:style w:type="character" w:customStyle="1" w:styleId="85">
    <w:name w:val="font11"/>
    <w:basedOn w:val="44"/>
    <w:qFormat/>
    <w:uiPriority w:val="0"/>
    <w:rPr>
      <w:rFonts w:hint="eastAsia" w:ascii="宋体" w:hAnsi="宋体" w:eastAsia="宋体" w:cs="宋体"/>
      <w:color w:val="000000"/>
      <w:sz w:val="21"/>
      <w:szCs w:val="21"/>
      <w:u w:val="none"/>
    </w:rPr>
  </w:style>
  <w:style w:type="character" w:customStyle="1" w:styleId="86">
    <w:name w:val="font21"/>
    <w:basedOn w:val="44"/>
    <w:qFormat/>
    <w:uiPriority w:val="0"/>
    <w:rPr>
      <w:rFonts w:hint="default" w:ascii="Arial" w:hAnsi="Arial" w:eastAsia="宋体" w:cs="Arial"/>
      <w:color w:val="000000"/>
      <w:sz w:val="20"/>
      <w:szCs w:val="20"/>
      <w:u w:val="none"/>
    </w:rPr>
  </w:style>
  <w:style w:type="character" w:customStyle="1" w:styleId="87">
    <w:name w:val="公司文档正文段落 Char"/>
    <w:link w:val="88"/>
    <w:qFormat/>
    <w:uiPriority w:val="0"/>
    <w:rPr>
      <w:rFonts w:ascii="宋体" w:hAnsi="宋体" w:eastAsia="宋体" w:cs="宋体"/>
      <w:kern w:val="0"/>
      <w:sz w:val="24"/>
      <w:szCs w:val="24"/>
    </w:rPr>
  </w:style>
  <w:style w:type="paragraph" w:customStyle="1" w:styleId="88">
    <w:name w:val="公司文档正文段落"/>
    <w:basedOn w:val="1"/>
    <w:link w:val="87"/>
    <w:qFormat/>
    <w:uiPriority w:val="0"/>
    <w:pPr>
      <w:widowControl/>
      <w:spacing w:line="360" w:lineRule="auto"/>
      <w:ind w:firstLine="420"/>
      <w:jc w:val="left"/>
    </w:pPr>
    <w:rPr>
      <w:rFonts w:ascii="宋体" w:hAnsi="宋体" w:cs="宋体"/>
      <w:kern w:val="0"/>
      <w:sz w:val="24"/>
      <w:szCs w:val="24"/>
    </w:rPr>
  </w:style>
  <w:style w:type="character" w:customStyle="1" w:styleId="89">
    <w:name w:val="批注文字 字符1"/>
    <w:qFormat/>
    <w:uiPriority w:val="0"/>
    <w:rPr>
      <w:rFonts w:ascii="Times New Roman" w:hAnsi="Times New Roman" w:eastAsia="宋体" w:cs="Times New Roman"/>
      <w:szCs w:val="21"/>
    </w:rPr>
  </w:style>
  <w:style w:type="character" w:customStyle="1" w:styleId="90">
    <w:name w:val="font101"/>
    <w:basedOn w:val="44"/>
    <w:qFormat/>
    <w:uiPriority w:val="0"/>
    <w:rPr>
      <w:rFonts w:hint="eastAsia" w:ascii="宋体" w:hAnsi="宋体" w:eastAsia="宋体" w:cs="宋体"/>
      <w:color w:val="000000"/>
      <w:sz w:val="21"/>
      <w:szCs w:val="21"/>
      <w:u w:val="none"/>
    </w:rPr>
  </w:style>
  <w:style w:type="character" w:customStyle="1" w:styleId="91">
    <w:name w:val="font111"/>
    <w:basedOn w:val="44"/>
    <w:qFormat/>
    <w:uiPriority w:val="0"/>
    <w:rPr>
      <w:rFonts w:hint="eastAsia" w:ascii="宋体" w:hAnsi="宋体" w:eastAsia="宋体" w:cs="宋体"/>
      <w:color w:val="FF0000"/>
      <w:sz w:val="21"/>
      <w:szCs w:val="21"/>
      <w:u w:val="none"/>
    </w:rPr>
  </w:style>
  <w:style w:type="character" w:customStyle="1" w:styleId="92">
    <w:name w:val="font31"/>
    <w:qFormat/>
    <w:uiPriority w:val="0"/>
    <w:rPr>
      <w:rFonts w:hint="eastAsia" w:ascii="宋体" w:hAnsi="宋体" w:eastAsia="宋体" w:cs="宋体"/>
      <w:color w:val="000000"/>
      <w:sz w:val="20"/>
      <w:szCs w:val="20"/>
      <w:u w:val="none"/>
    </w:rPr>
  </w:style>
  <w:style w:type="character" w:customStyle="1" w:styleId="93">
    <w:name w:val="font61"/>
    <w:basedOn w:val="44"/>
    <w:qFormat/>
    <w:uiPriority w:val="0"/>
    <w:rPr>
      <w:rFonts w:hint="eastAsia" w:ascii="宋体" w:hAnsi="宋体" w:eastAsia="宋体" w:cs="宋体"/>
      <w:color w:val="000000"/>
      <w:sz w:val="22"/>
      <w:szCs w:val="22"/>
      <w:u w:val="none"/>
    </w:rPr>
  </w:style>
  <w:style w:type="character" w:customStyle="1" w:styleId="94">
    <w:name w:val="font01"/>
    <w:qFormat/>
    <w:uiPriority w:val="0"/>
    <w:rPr>
      <w:rFonts w:hint="eastAsia" w:ascii="宋体" w:hAnsi="宋体" w:eastAsia="宋体" w:cs="宋体"/>
      <w:color w:val="000000"/>
      <w:sz w:val="20"/>
      <w:szCs w:val="20"/>
      <w:u w:val="none"/>
    </w:rPr>
  </w:style>
  <w:style w:type="character" w:customStyle="1" w:styleId="95">
    <w:name w:val="公司文档标题3 Char"/>
    <w:link w:val="96"/>
    <w:qFormat/>
    <w:uiPriority w:val="0"/>
    <w:rPr>
      <w:rFonts w:ascii="宋体" w:hAnsi="宋体" w:eastAsia="宋体" w:cs="Times New Roman"/>
      <w:b/>
      <w:kern w:val="44"/>
      <w:sz w:val="32"/>
      <w:szCs w:val="21"/>
    </w:rPr>
  </w:style>
  <w:style w:type="paragraph" w:customStyle="1" w:styleId="96">
    <w:name w:val="公司文档标题3"/>
    <w:basedOn w:val="10"/>
    <w:link w:val="95"/>
    <w:qFormat/>
    <w:uiPriority w:val="0"/>
    <w:pPr>
      <w:keepNext w:val="0"/>
      <w:keepLines w:val="0"/>
      <w:tabs>
        <w:tab w:val="left" w:pos="1080"/>
      </w:tabs>
      <w:spacing w:before="120" w:after="120" w:line="300" w:lineRule="auto"/>
      <w:ind w:left="720" w:hanging="720"/>
    </w:pPr>
    <w:rPr>
      <w:rFonts w:ascii="宋体" w:hAnsi="宋体"/>
      <w:bCs w:val="0"/>
      <w:kern w:val="44"/>
      <w:szCs w:val="21"/>
    </w:rPr>
  </w:style>
  <w:style w:type="character" w:customStyle="1" w:styleId="97">
    <w:name w:val="批注主题 字符1"/>
    <w:qFormat/>
    <w:uiPriority w:val="0"/>
    <w:rPr>
      <w:rFonts w:ascii="Times New Roman" w:hAnsi="Times New Roman" w:eastAsia="宋体" w:cs="Times New Roman"/>
      <w:b/>
      <w:bCs/>
      <w:szCs w:val="21"/>
    </w:rPr>
  </w:style>
  <w:style w:type="character" w:customStyle="1" w:styleId="98">
    <w:name w:val="font12"/>
    <w:qFormat/>
    <w:uiPriority w:val="0"/>
    <w:rPr>
      <w:rFonts w:hint="eastAsia" w:ascii="宋体" w:hAnsi="宋体" w:eastAsia="宋体" w:cs="宋体"/>
      <w:color w:val="FF0000"/>
      <w:sz w:val="22"/>
      <w:szCs w:val="22"/>
      <w:u w:val="none"/>
    </w:rPr>
  </w:style>
  <w:style w:type="character" w:customStyle="1" w:styleId="99">
    <w:name w:val="font71"/>
    <w:basedOn w:val="44"/>
    <w:qFormat/>
    <w:uiPriority w:val="0"/>
    <w:rPr>
      <w:rFonts w:hint="eastAsia" w:ascii="宋体" w:hAnsi="宋体" w:eastAsia="宋体" w:cs="宋体"/>
      <w:color w:val="000000"/>
      <w:sz w:val="22"/>
      <w:szCs w:val="22"/>
      <w:u w:val="none"/>
    </w:rPr>
  </w:style>
  <w:style w:type="character" w:customStyle="1" w:styleId="100">
    <w:name w:val="文档结构图 字符1"/>
    <w:qFormat/>
    <w:uiPriority w:val="0"/>
    <w:rPr>
      <w:rFonts w:ascii="Microsoft YaHei UI" w:hAnsi="Times New Roman" w:eastAsia="Microsoft YaHei UI" w:cs="Times New Roman"/>
      <w:sz w:val="18"/>
      <w:szCs w:val="18"/>
    </w:rPr>
  </w:style>
  <w:style w:type="character" w:customStyle="1" w:styleId="101">
    <w:name w:val="纯文本 字符1"/>
    <w:qFormat/>
    <w:uiPriority w:val="0"/>
    <w:rPr>
      <w:rFonts w:ascii="等线" w:hAnsi="Courier New" w:eastAsia="宋体" w:cs="Courier New"/>
      <w:szCs w:val="21"/>
    </w:rPr>
  </w:style>
  <w:style w:type="character" w:customStyle="1" w:styleId="102">
    <w:name w:val="正文文本缩进 2 字符1"/>
    <w:qFormat/>
    <w:uiPriority w:val="0"/>
    <w:rPr>
      <w:rFonts w:ascii="Times New Roman" w:hAnsi="Times New Roman" w:eastAsia="宋体" w:cs="Times New Roman"/>
      <w:szCs w:val="21"/>
    </w:rPr>
  </w:style>
  <w:style w:type="character" w:customStyle="1" w:styleId="103">
    <w:name w:val="正文1 Char"/>
    <w:link w:val="104"/>
    <w:qFormat/>
    <w:uiPriority w:val="0"/>
    <w:rPr>
      <w:rFonts w:ascii="Times New Roman" w:hAnsi="Times New Roman" w:eastAsia="宋体" w:cs="Times New Roman"/>
      <w:kern w:val="0"/>
      <w:sz w:val="28"/>
      <w:szCs w:val="24"/>
      <w:lang w:val="sq-AL"/>
    </w:rPr>
  </w:style>
  <w:style w:type="paragraph" w:customStyle="1" w:styleId="104">
    <w:name w:val="正文1"/>
    <w:basedOn w:val="1"/>
    <w:link w:val="103"/>
    <w:qFormat/>
    <w:uiPriority w:val="0"/>
    <w:pPr>
      <w:spacing w:line="480" w:lineRule="exact"/>
      <w:ind w:firstLine="567"/>
    </w:pPr>
    <w:rPr>
      <w:kern w:val="0"/>
      <w:sz w:val="28"/>
      <w:szCs w:val="24"/>
      <w:lang w:val="sq-AL"/>
    </w:rPr>
  </w:style>
  <w:style w:type="character" w:customStyle="1" w:styleId="105">
    <w:name w:val="正文文本 Char1"/>
    <w:qFormat/>
    <w:uiPriority w:val="0"/>
    <w:rPr>
      <w:rFonts w:ascii="Times New Roman" w:hAnsi="Times New Roman" w:eastAsia="宋体" w:cs="Times New Roman"/>
      <w:kern w:val="2"/>
      <w:sz w:val="18"/>
      <w:szCs w:val="24"/>
    </w:rPr>
  </w:style>
  <w:style w:type="character" w:customStyle="1" w:styleId="106">
    <w:name w:val="纯文本 Char1"/>
    <w:basedOn w:val="44"/>
    <w:qFormat/>
    <w:uiPriority w:val="0"/>
    <w:rPr>
      <w:rFonts w:ascii="宋体" w:hAnsi="Courier New" w:eastAsia="宋体" w:cs="Courier New"/>
      <w:sz w:val="21"/>
      <w:szCs w:val="21"/>
    </w:rPr>
  </w:style>
  <w:style w:type="character" w:customStyle="1" w:styleId="107">
    <w:name w:val="font121"/>
    <w:basedOn w:val="44"/>
    <w:qFormat/>
    <w:uiPriority w:val="0"/>
    <w:rPr>
      <w:rFonts w:ascii="微软雅黑" w:hAnsi="微软雅黑" w:eastAsia="微软雅黑" w:cs="微软雅黑"/>
      <w:color w:val="000000"/>
      <w:sz w:val="21"/>
      <w:szCs w:val="21"/>
      <w:u w:val="none"/>
    </w:rPr>
  </w:style>
  <w:style w:type="character" w:customStyle="1" w:styleId="108">
    <w:name w:val="font91"/>
    <w:basedOn w:val="44"/>
    <w:qFormat/>
    <w:uiPriority w:val="0"/>
    <w:rPr>
      <w:rFonts w:hint="default" w:ascii="Times New Roman" w:hAnsi="Times New Roman" w:cs="Times New Roman"/>
      <w:color w:val="000000"/>
      <w:sz w:val="21"/>
      <w:szCs w:val="21"/>
      <w:u w:val="none"/>
    </w:rPr>
  </w:style>
  <w:style w:type="character" w:customStyle="1" w:styleId="109">
    <w:name w:val="普通文字 Char Char2"/>
    <w:qFormat/>
    <w:uiPriority w:val="0"/>
    <w:rPr>
      <w:rFonts w:ascii="宋体" w:hAnsi="Courier New" w:eastAsia="宋体" w:cs="Times New Roman"/>
      <w:lang w:bidi="ar-SA"/>
    </w:rPr>
  </w:style>
  <w:style w:type="character" w:customStyle="1" w:styleId="110">
    <w:name w:val="列出段落 字符"/>
    <w:link w:val="111"/>
    <w:qFormat/>
    <w:uiPriority w:val="0"/>
    <w:rPr>
      <w:rFonts w:ascii="Times New Roman" w:hAnsi="Times New Roman" w:eastAsia="宋体" w:cs="Times New Roman"/>
      <w:szCs w:val="21"/>
    </w:rPr>
  </w:style>
  <w:style w:type="paragraph" w:customStyle="1" w:styleId="111">
    <w:name w:val="列出段落1"/>
    <w:basedOn w:val="1"/>
    <w:link w:val="110"/>
    <w:qFormat/>
    <w:uiPriority w:val="0"/>
    <w:pPr>
      <w:ind w:firstLine="420" w:firstLineChars="200"/>
    </w:pPr>
  </w:style>
  <w:style w:type="character" w:customStyle="1" w:styleId="112">
    <w:name w:val="公司文档正文 Char"/>
    <w:link w:val="113"/>
    <w:qFormat/>
    <w:uiPriority w:val="0"/>
    <w:rPr>
      <w:rFonts w:ascii="宋体" w:hAnsi="宋体" w:eastAsia="宋体" w:cs="Times New Roman"/>
      <w:kern w:val="0"/>
      <w:sz w:val="24"/>
      <w:szCs w:val="24"/>
    </w:rPr>
  </w:style>
  <w:style w:type="paragraph" w:customStyle="1" w:styleId="113">
    <w:name w:val="公司文档正文"/>
    <w:basedOn w:val="1"/>
    <w:link w:val="112"/>
    <w:qFormat/>
    <w:uiPriority w:val="0"/>
    <w:pPr>
      <w:widowControl/>
      <w:spacing w:line="360" w:lineRule="auto"/>
      <w:ind w:firstLine="420"/>
      <w:jc w:val="left"/>
    </w:pPr>
    <w:rPr>
      <w:rFonts w:ascii="宋体" w:hAnsi="宋体"/>
      <w:kern w:val="0"/>
      <w:sz w:val="24"/>
      <w:szCs w:val="24"/>
    </w:rPr>
  </w:style>
  <w:style w:type="character" w:customStyle="1" w:styleId="114">
    <w:name w:val="bullet 1 Char"/>
    <w:link w:val="115"/>
    <w:qFormat/>
    <w:uiPriority w:val="0"/>
    <w:rPr>
      <w:rFonts w:ascii="Calibri" w:hAnsi="Calibri" w:eastAsia="宋体" w:cs="Times New Roman"/>
      <w:szCs w:val="21"/>
    </w:rPr>
  </w:style>
  <w:style w:type="paragraph" w:customStyle="1" w:styleId="115">
    <w:name w:val="bullet 1"/>
    <w:basedOn w:val="1"/>
    <w:link w:val="114"/>
    <w:qFormat/>
    <w:uiPriority w:val="0"/>
    <w:pPr>
      <w:spacing w:beforeLines="50" w:afterLines="50" w:line="276" w:lineRule="auto"/>
    </w:pPr>
    <w:rPr>
      <w:rFonts w:ascii="Calibri" w:hAnsi="Calibri"/>
    </w:rPr>
  </w:style>
  <w:style w:type="character" w:customStyle="1" w:styleId="116">
    <w:name w:val="公司文档标题2 Char"/>
    <w:link w:val="117"/>
    <w:qFormat/>
    <w:uiPriority w:val="0"/>
    <w:rPr>
      <w:rFonts w:ascii="宋体" w:hAnsi="宋体" w:eastAsia="宋体" w:cs="Times New Roman"/>
      <w:b/>
      <w:bCs/>
      <w:sz w:val="44"/>
      <w:szCs w:val="44"/>
    </w:rPr>
  </w:style>
  <w:style w:type="paragraph" w:customStyle="1" w:styleId="117">
    <w:name w:val="公司文档标题2"/>
    <w:basedOn w:val="9"/>
    <w:link w:val="116"/>
    <w:qFormat/>
    <w:uiPriority w:val="0"/>
    <w:pPr>
      <w:keepNext w:val="0"/>
      <w:keepLines w:val="0"/>
      <w:tabs>
        <w:tab w:val="left" w:pos="576"/>
      </w:tabs>
      <w:spacing w:before="120" w:after="120" w:line="300" w:lineRule="auto"/>
      <w:ind w:left="576" w:hanging="576"/>
      <w:jc w:val="left"/>
    </w:pPr>
    <w:rPr>
      <w:rFonts w:ascii="宋体" w:hAnsi="宋体" w:eastAsia="宋体" w:cs="Times New Roman"/>
      <w:sz w:val="44"/>
      <w:szCs w:val="44"/>
    </w:rPr>
  </w:style>
  <w:style w:type="character" w:customStyle="1" w:styleId="118">
    <w:name w:val="font81"/>
    <w:basedOn w:val="44"/>
    <w:qFormat/>
    <w:uiPriority w:val="0"/>
    <w:rPr>
      <w:rFonts w:hint="default" w:ascii="Times New Roman" w:hAnsi="Times New Roman" w:eastAsia="宋体" w:cs="Times New Roman"/>
      <w:color w:val="000000"/>
      <w:sz w:val="22"/>
      <w:szCs w:val="22"/>
      <w:u w:val="none"/>
    </w:rPr>
  </w:style>
  <w:style w:type="character" w:customStyle="1" w:styleId="119">
    <w:name w:val="apple-converted-space"/>
    <w:qFormat/>
    <w:uiPriority w:val="0"/>
  </w:style>
  <w:style w:type="character" w:customStyle="1" w:styleId="120">
    <w:name w:val="公司标准-说明性文字 Char"/>
    <w:link w:val="121"/>
    <w:qFormat/>
    <w:uiPriority w:val="0"/>
    <w:rPr>
      <w:rFonts w:ascii="宋体" w:hAnsi="宋体" w:eastAsia="宋体" w:cs="宋体"/>
      <w:i/>
      <w:color w:val="0070C0"/>
      <w:kern w:val="0"/>
      <w:sz w:val="24"/>
      <w:szCs w:val="24"/>
    </w:rPr>
  </w:style>
  <w:style w:type="paragraph" w:customStyle="1" w:styleId="121">
    <w:name w:val="公司标准-说明性文字"/>
    <w:basedOn w:val="88"/>
    <w:link w:val="120"/>
    <w:qFormat/>
    <w:uiPriority w:val="0"/>
    <w:rPr>
      <w:rFonts w:ascii="Times New Roman" w:hAnsi="Times New Roman" w:cs="Times New Roman"/>
      <w:i/>
      <w:color w:val="0070C0"/>
    </w:rPr>
  </w:style>
  <w:style w:type="character" w:customStyle="1" w:styleId="122">
    <w:name w:val="NormalCharacter"/>
    <w:qFormat/>
    <w:uiPriority w:val="0"/>
    <w:rPr>
      <w:rFonts w:ascii="Times New Roman" w:hAnsi="Times New Roman" w:eastAsia="宋体" w:cs="Times New Roman"/>
    </w:rPr>
  </w:style>
  <w:style w:type="paragraph" w:customStyle="1" w:styleId="12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4">
    <w:name w:val="公司文档标题1"/>
    <w:basedOn w:val="8"/>
    <w:qFormat/>
    <w:uiPriority w:val="0"/>
    <w:pPr>
      <w:keepNext w:val="0"/>
      <w:keepLines w:val="0"/>
      <w:pageBreakBefore/>
      <w:tabs>
        <w:tab w:val="left" w:pos="432"/>
      </w:tabs>
      <w:spacing w:line="360" w:lineRule="auto"/>
      <w:ind w:left="432" w:hanging="432"/>
    </w:pPr>
    <w:rPr>
      <w:bCs w:val="0"/>
      <w:sz w:val="52"/>
      <w:szCs w:val="52"/>
    </w:rPr>
  </w:style>
  <w:style w:type="paragraph" w:customStyle="1" w:styleId="12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文字"/>
    <w:basedOn w:val="1"/>
    <w:qFormat/>
    <w:uiPriority w:val="0"/>
    <w:pPr>
      <w:tabs>
        <w:tab w:val="left" w:pos="8520"/>
      </w:tabs>
      <w:spacing w:line="312" w:lineRule="auto"/>
      <w:ind w:right="-210" w:firstLine="556"/>
    </w:pPr>
    <w:rPr>
      <w:rFonts w:ascii="楷体_GB2312" w:eastAsia="楷体_GB2312" w:cs="楷体_GB2312"/>
      <w:sz w:val="28"/>
      <w:szCs w:val="28"/>
    </w:rPr>
  </w:style>
  <w:style w:type="paragraph" w:customStyle="1" w:styleId="127">
    <w:name w:val="font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正文2"/>
    <w:basedOn w:val="1"/>
    <w:qFormat/>
    <w:uiPriority w:val="0"/>
    <w:pPr>
      <w:widowControl/>
      <w:tabs>
        <w:tab w:val="left" w:pos="2240"/>
      </w:tabs>
      <w:spacing w:before="120" w:line="300" w:lineRule="auto"/>
      <w:ind w:left="198" w:firstLine="499"/>
    </w:pPr>
    <w:rPr>
      <w:color w:val="000000"/>
      <w:kern w:val="0"/>
      <w:sz w:val="24"/>
      <w:szCs w:val="24"/>
    </w:rPr>
  </w:style>
  <w:style w:type="paragraph" w:customStyle="1" w:styleId="129">
    <w:name w:val="Char1 Char Char Char"/>
    <w:basedOn w:val="1"/>
    <w:qFormat/>
    <w:uiPriority w:val="0"/>
    <w:rPr>
      <w:rFonts w:ascii="Tahoma" w:hAnsi="Tahoma"/>
      <w:sz w:val="24"/>
      <w:szCs w:val="20"/>
    </w:rPr>
  </w:style>
  <w:style w:type="paragraph" w:customStyle="1" w:styleId="130">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131">
    <w:name w:val="WW-正文（首行缩进两字）"/>
    <w:basedOn w:val="1"/>
    <w:qFormat/>
    <w:uiPriority w:val="0"/>
    <w:pPr>
      <w:suppressAutoHyphens/>
      <w:ind w:firstLine="420"/>
    </w:pPr>
    <w:rPr>
      <w:kern w:val="1"/>
      <w:szCs w:val="20"/>
    </w:rPr>
  </w:style>
  <w:style w:type="paragraph" w:customStyle="1" w:styleId="132">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Table_Medium"/>
    <w:basedOn w:val="134"/>
    <w:qFormat/>
    <w:uiPriority w:val="0"/>
    <w:pPr>
      <w:numPr>
        <w:ilvl w:val="3"/>
        <w:numId w:val="0"/>
      </w:numPr>
    </w:pPr>
    <w:rPr>
      <w:rFonts w:ascii="Times New Roman" w:hAnsi="Times New Roman"/>
      <w:sz w:val="18"/>
    </w:rPr>
  </w:style>
  <w:style w:type="paragraph" w:customStyle="1" w:styleId="134">
    <w:name w:val="Table"/>
    <w:basedOn w:val="1"/>
    <w:qFormat/>
    <w:uiPriority w:val="0"/>
    <w:pPr>
      <w:widowControl/>
      <w:numPr>
        <w:ilvl w:val="2"/>
        <w:numId w:val="2"/>
      </w:numPr>
      <w:tabs>
        <w:tab w:val="clear" w:pos="1440"/>
      </w:tabs>
      <w:spacing w:before="40" w:after="40"/>
      <w:ind w:left="0" w:firstLine="0"/>
      <w:jc w:val="left"/>
    </w:pPr>
    <w:rPr>
      <w:rFonts w:ascii="Futura Bk" w:hAnsi="Futura Bk"/>
      <w:kern w:val="0"/>
      <w:sz w:val="20"/>
      <w:szCs w:val="20"/>
      <w:lang w:val="en-GB" w:eastAsia="en-US"/>
    </w:rPr>
  </w:style>
  <w:style w:type="paragraph" w:customStyle="1" w:styleId="135">
    <w:name w:val="bodytext"/>
    <w:basedOn w:val="1"/>
    <w:qFormat/>
    <w:uiPriority w:val="0"/>
    <w:pPr>
      <w:widowControl/>
      <w:spacing w:before="60" w:after="60" w:line="360" w:lineRule="auto"/>
      <w:ind w:firstLine="420"/>
      <w:jc w:val="left"/>
    </w:pPr>
    <w:rPr>
      <w:rFonts w:ascii="宋体" w:hAnsi="宋体" w:cs="宋体"/>
      <w:kern w:val="0"/>
    </w:rPr>
  </w:style>
  <w:style w:type="paragraph" w:customStyle="1" w:styleId="136">
    <w:name w:val="列表1"/>
    <w:basedOn w:val="7"/>
    <w:qFormat/>
    <w:uiPriority w:val="0"/>
    <w:pPr>
      <w:numPr>
        <w:ilvl w:val="0"/>
        <w:numId w:val="3"/>
      </w:numPr>
      <w:tabs>
        <w:tab w:val="clear" w:pos="40"/>
      </w:tabs>
      <w:autoSpaceDE w:val="0"/>
      <w:autoSpaceDN w:val="0"/>
      <w:adjustRightInd w:val="0"/>
      <w:spacing w:after="0" w:line="360" w:lineRule="auto"/>
      <w:ind w:left="0" w:firstLine="0" w:firstLineChars="0"/>
      <w:textAlignment w:val="baseline"/>
    </w:pPr>
    <w:rPr>
      <w:rFonts w:ascii="Arial" w:hAnsi="Arial"/>
      <w:kern w:val="0"/>
    </w:rPr>
  </w:style>
  <w:style w:type="paragraph" w:customStyle="1" w:styleId="137">
    <w:name w:val="列出段落11"/>
    <w:basedOn w:val="1"/>
    <w:qFormat/>
    <w:uiPriority w:val="0"/>
    <w:pPr>
      <w:ind w:firstLine="420" w:firstLineChars="200"/>
    </w:pPr>
    <w:rPr>
      <w:rFonts w:ascii="等线" w:hAnsi="等线" w:eastAsia="等线"/>
      <w:szCs w:val="24"/>
    </w:rPr>
  </w:style>
  <w:style w:type="paragraph" w:customStyle="1" w:styleId="138">
    <w:name w:val="正文首行缩进 21"/>
    <w:basedOn w:val="139"/>
    <w:qFormat/>
    <w:uiPriority w:val="0"/>
    <w:pPr>
      <w:ind w:firstLine="420" w:firstLineChars="200"/>
    </w:pPr>
  </w:style>
  <w:style w:type="paragraph" w:customStyle="1" w:styleId="139">
    <w:name w:val="正文文本缩进1"/>
    <w:basedOn w:val="1"/>
    <w:qFormat/>
    <w:uiPriority w:val="0"/>
    <w:pPr>
      <w:spacing w:after="120"/>
      <w:ind w:left="420" w:leftChars="200"/>
    </w:pPr>
    <w:rPr>
      <w:rFonts w:ascii="楷体_GB2312" w:eastAsia="楷体_GB2312"/>
      <w:sz w:val="28"/>
    </w:rPr>
  </w:style>
  <w:style w:type="paragraph" w:customStyle="1" w:styleId="140">
    <w:name w:val="表格标题"/>
    <w:basedOn w:val="1"/>
    <w:next w:val="1"/>
    <w:qFormat/>
    <w:uiPriority w:val="0"/>
    <w:pPr>
      <w:spacing w:line="312" w:lineRule="auto"/>
      <w:jc w:val="center"/>
    </w:pPr>
    <w:rPr>
      <w:rFonts w:hint="eastAsia" w:ascii="宋体"/>
      <w:b/>
      <w:szCs w:val="20"/>
    </w:rPr>
  </w:style>
  <w:style w:type="paragraph" w:customStyle="1" w:styleId="14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2">
    <w:name w:val="列出段落5"/>
    <w:basedOn w:val="1"/>
    <w:qFormat/>
    <w:uiPriority w:val="0"/>
    <w:pPr>
      <w:ind w:firstLine="420" w:firstLineChars="200"/>
    </w:pPr>
  </w:style>
  <w:style w:type="paragraph" w:customStyle="1" w:styleId="143">
    <w:name w:val="Char"/>
    <w:basedOn w:val="1"/>
    <w:qFormat/>
    <w:uiPriority w:val="0"/>
    <w:pPr>
      <w:adjustRightInd w:val="0"/>
      <w:spacing w:line="360" w:lineRule="auto"/>
    </w:pPr>
    <w:rPr>
      <w:kern w:val="0"/>
      <w:sz w:val="24"/>
      <w:szCs w:val="20"/>
    </w:rPr>
  </w:style>
  <w:style w:type="paragraph" w:customStyle="1" w:styleId="14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45">
    <w:name w:val="InfoBlue"/>
    <w:basedOn w:val="1"/>
    <w:next w:val="4"/>
    <w:qFormat/>
    <w:uiPriority w:val="0"/>
    <w:pPr>
      <w:spacing w:before="240" w:after="120" w:line="240" w:lineRule="atLeast"/>
      <w:ind w:left="765"/>
    </w:pPr>
    <w:rPr>
      <w:i/>
      <w:color w:val="0000FF"/>
      <w:kern w:val="0"/>
      <w:sz w:val="20"/>
      <w:szCs w:val="20"/>
    </w:rPr>
  </w:style>
  <w:style w:type="paragraph" w:customStyle="1" w:styleId="146">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8">
    <w:name w:val="正文首行缩进1(Crlf+Shift+M)"/>
    <w:qFormat/>
    <w:uiPriority w:val="0"/>
    <w:pPr>
      <w:spacing w:before="120" w:after="120" w:line="360" w:lineRule="auto"/>
      <w:ind w:firstLine="420" w:firstLineChars="200"/>
    </w:pPr>
    <w:rPr>
      <w:rFonts w:ascii="Arial" w:hAnsi="Arial" w:eastAsia="宋体" w:cs="宋体"/>
      <w:kern w:val="2"/>
      <w:sz w:val="21"/>
      <w:szCs w:val="22"/>
      <w:lang w:val="en-US" w:eastAsia="zh-CN" w:bidi="ar-SA"/>
    </w:rPr>
  </w:style>
  <w:style w:type="paragraph" w:customStyle="1" w:styleId="149">
    <w:name w:val="缩进项目列表"/>
    <w:basedOn w:val="22"/>
    <w:qFormat/>
    <w:uiPriority w:val="0"/>
    <w:pPr>
      <w:spacing w:before="120" w:after="120"/>
      <w:ind w:left="1050" w:leftChars="300"/>
    </w:pPr>
    <w:rPr>
      <w:rFonts w:ascii="宋体" w:hAnsi="宋体"/>
      <w:szCs w:val="20"/>
    </w:rPr>
  </w:style>
  <w:style w:type="paragraph" w:customStyle="1" w:styleId="150">
    <w:name w:val="级别1"/>
    <w:basedOn w:val="1"/>
    <w:qFormat/>
    <w:uiPriority w:val="0"/>
    <w:pPr>
      <w:tabs>
        <w:tab w:val="left" w:pos="400"/>
      </w:tabs>
      <w:spacing w:beforeLines="50"/>
      <w:ind w:left="400" w:hanging="400"/>
    </w:pPr>
    <w:rPr>
      <w:rFonts w:ascii="Arial" w:hAnsi="Arial"/>
      <w:sz w:val="24"/>
      <w:szCs w:val="24"/>
    </w:rPr>
  </w:style>
  <w:style w:type="paragraph" w:customStyle="1" w:styleId="151">
    <w:name w:val="xl98"/>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52">
    <w:name w:val="列表段落1"/>
    <w:basedOn w:val="1"/>
    <w:qFormat/>
    <w:uiPriority w:val="0"/>
    <w:pPr>
      <w:ind w:firstLine="420" w:firstLineChars="200"/>
    </w:pPr>
  </w:style>
  <w:style w:type="paragraph" w:customStyle="1" w:styleId="153">
    <w:name w:val="正文内容"/>
    <w:basedOn w:val="1"/>
    <w:qFormat/>
    <w:uiPriority w:val="0"/>
    <w:pPr>
      <w:spacing w:line="360" w:lineRule="auto"/>
      <w:ind w:firstLine="480" w:firstLineChars="200"/>
      <w:jc w:val="left"/>
    </w:pPr>
    <w:rPr>
      <w:rFonts w:ascii="宋体" w:hAnsi="宋体"/>
      <w:sz w:val="24"/>
      <w:szCs w:val="24"/>
      <w:lang w:val="zh-CN"/>
    </w:rPr>
  </w:style>
  <w:style w:type="paragraph" w:customStyle="1" w:styleId="154">
    <w:name w:val="1.1"/>
    <w:basedOn w:val="11"/>
    <w:qFormat/>
    <w:uiPriority w:val="0"/>
    <w:pPr>
      <w:spacing w:before="0" w:after="0" w:line="360" w:lineRule="auto"/>
    </w:pPr>
    <w:rPr>
      <w:rFonts w:ascii="宋体" w:hAnsi="宋体" w:cs="仿宋"/>
      <w:sz w:val="21"/>
      <w:szCs w:val="21"/>
    </w:rPr>
  </w:style>
  <w:style w:type="paragraph" w:customStyle="1" w:styleId="155">
    <w:name w:val="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6">
    <w:name w:val="列出段落2"/>
    <w:basedOn w:val="1"/>
    <w:qFormat/>
    <w:uiPriority w:val="0"/>
    <w:pPr>
      <w:widowControl/>
      <w:spacing w:line="360" w:lineRule="auto"/>
      <w:ind w:firstLine="200" w:firstLineChars="200"/>
      <w:jc w:val="left"/>
    </w:pPr>
    <w:rPr>
      <w:rFonts w:ascii="宋体" w:hAnsi="宋体" w:eastAsia="仿宋" w:cs="宋体"/>
      <w:kern w:val="0"/>
      <w:sz w:val="24"/>
      <w:szCs w:val="24"/>
    </w:rPr>
  </w:style>
  <w:style w:type="paragraph" w:customStyle="1" w:styleId="157">
    <w:name w:val="Table Heading"/>
    <w:qFormat/>
    <w:uiPriority w:val="0"/>
    <w:pPr>
      <w:jc w:val="center"/>
    </w:pPr>
    <w:rPr>
      <w:rFonts w:ascii="Arial" w:hAnsi="Arial" w:eastAsia="宋体" w:cs="Times New Roman"/>
      <w:b/>
      <w:sz w:val="21"/>
      <w:szCs w:val="21"/>
      <w:lang w:val="en-US" w:eastAsia="zh-CN" w:bidi="ar-SA"/>
    </w:rPr>
  </w:style>
  <w:style w:type="paragraph" w:customStyle="1" w:styleId="158">
    <w:name w:val="公司文档标题4"/>
    <w:basedOn w:val="11"/>
    <w:qFormat/>
    <w:uiPriority w:val="0"/>
    <w:pPr>
      <w:keepNext w:val="0"/>
      <w:keepLines w:val="0"/>
      <w:tabs>
        <w:tab w:val="left" w:pos="1620"/>
      </w:tabs>
      <w:spacing w:before="60" w:after="60" w:line="300" w:lineRule="auto"/>
      <w:ind w:left="1044" w:hanging="864"/>
    </w:pPr>
    <w:rPr>
      <w:rFonts w:ascii="宋体" w:hAnsi="宋体" w:cs="Times New Roman"/>
      <w:b/>
      <w:kern w:val="44"/>
      <w:sz w:val="18"/>
      <w:szCs w:val="18"/>
    </w:rPr>
  </w:style>
  <w:style w:type="paragraph" w:customStyle="1" w:styleId="159">
    <w:name w:val="_Style 10"/>
    <w:basedOn w:val="4"/>
    <w:next w:val="7"/>
    <w:qFormat/>
    <w:uiPriority w:val="0"/>
    <w:pPr>
      <w:ind w:firstLine="420" w:firstLineChars="100"/>
    </w:pPr>
  </w:style>
  <w:style w:type="paragraph" w:customStyle="1" w:styleId="160">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1">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2">
    <w:name w:val="Table Text"/>
    <w:basedOn w:val="1"/>
    <w:qFormat/>
    <w:uiPriority w:val="0"/>
    <w:pPr>
      <w:widowControl/>
      <w:suppressAutoHyphens/>
      <w:overflowPunct w:val="0"/>
      <w:autoSpaceDE w:val="0"/>
      <w:autoSpaceDN w:val="0"/>
      <w:adjustRightInd w:val="0"/>
      <w:spacing w:after="60"/>
      <w:jc w:val="left"/>
      <w:textAlignment w:val="baseline"/>
    </w:pPr>
    <w:rPr>
      <w:rFonts w:ascii="宋体" w:hAnsi="宋体" w:cs="宋体"/>
      <w:kern w:val="0"/>
      <w:sz w:val="24"/>
      <w:szCs w:val="20"/>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4">
    <w:name w:val="列表段落2"/>
    <w:basedOn w:val="1"/>
    <w:qFormat/>
    <w:uiPriority w:val="0"/>
    <w:pPr>
      <w:ind w:firstLine="420" w:firstLineChars="200"/>
    </w:pPr>
  </w:style>
  <w:style w:type="paragraph" w:customStyle="1" w:styleId="165">
    <w:name w:val="列出段落3"/>
    <w:basedOn w:val="1"/>
    <w:qFormat/>
    <w:uiPriority w:val="0"/>
    <w:pPr>
      <w:spacing w:before="50" w:beforeLines="50" w:after="50" w:afterLines="50" w:line="360" w:lineRule="auto"/>
      <w:ind w:firstLine="420" w:firstLineChars="200"/>
    </w:pPr>
  </w:style>
  <w:style w:type="paragraph" w:customStyle="1" w:styleId="16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8">
    <w:name w:val="样式1"/>
    <w:basedOn w:val="1"/>
    <w:qFormat/>
    <w:uiPriority w:val="0"/>
    <w:pPr>
      <w:widowControl/>
      <w:overflowPunct w:val="0"/>
      <w:autoSpaceDE w:val="0"/>
      <w:autoSpaceDN w:val="0"/>
      <w:adjustRightInd w:val="0"/>
      <w:spacing w:after="80" w:line="360" w:lineRule="auto"/>
      <w:ind w:firstLine="570"/>
      <w:textAlignment w:val="baseline"/>
    </w:pPr>
    <w:rPr>
      <w:kern w:val="0"/>
      <w:sz w:val="28"/>
      <w:szCs w:val="20"/>
    </w:rPr>
  </w:style>
  <w:style w:type="paragraph" w:customStyle="1" w:styleId="169">
    <w:name w:val="日期1"/>
    <w:basedOn w:val="1"/>
    <w:next w:val="1"/>
    <w:qFormat/>
    <w:uiPriority w:val="0"/>
    <w:pPr>
      <w:adjustRightInd w:val="0"/>
      <w:spacing w:line="312" w:lineRule="atLeast"/>
      <w:textAlignment w:val="baseline"/>
    </w:pPr>
    <w:rPr>
      <w:kern w:val="0"/>
      <w:sz w:val="24"/>
      <w:szCs w:val="20"/>
    </w:rPr>
  </w:style>
  <w:style w:type="paragraph" w:customStyle="1" w:styleId="170">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1">
    <w:name w:val="List Paragraph1"/>
    <w:basedOn w:val="1"/>
    <w:qFormat/>
    <w:uiPriority w:val="0"/>
    <w:pPr>
      <w:ind w:firstLine="420" w:firstLineChars="200"/>
    </w:pPr>
    <w:rPr>
      <w:szCs w:val="20"/>
    </w:rPr>
  </w:style>
  <w:style w:type="paragraph" w:customStyle="1" w:styleId="172">
    <w:name w:val="正文文本缩进 31"/>
    <w:basedOn w:val="1"/>
    <w:qFormat/>
    <w:uiPriority w:val="0"/>
    <w:pPr>
      <w:overflowPunct w:val="0"/>
      <w:autoSpaceDE w:val="0"/>
      <w:autoSpaceDN w:val="0"/>
      <w:adjustRightInd w:val="0"/>
      <w:spacing w:line="360" w:lineRule="auto"/>
      <w:ind w:left="540"/>
      <w:textAlignment w:val="baseline"/>
    </w:pPr>
    <w:rPr>
      <w:rFonts w:ascii="宋体"/>
      <w:spacing w:val="26"/>
      <w:kern w:val="0"/>
      <w:sz w:val="24"/>
      <w:szCs w:val="20"/>
    </w:rPr>
  </w:style>
  <w:style w:type="paragraph" w:customStyle="1" w:styleId="17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74">
    <w:name w:val="xl103"/>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75">
    <w:name w:val="xl10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6">
    <w:name w:val="列出段落12"/>
    <w:basedOn w:val="1"/>
    <w:qFormat/>
    <w:uiPriority w:val="0"/>
    <w:pPr>
      <w:ind w:firstLine="420" w:firstLineChars="200"/>
    </w:pPr>
    <w:rPr>
      <w:szCs w:val="24"/>
    </w:rPr>
  </w:style>
  <w:style w:type="paragraph" w:customStyle="1" w:styleId="177">
    <w:name w:val="_Style 3"/>
    <w:basedOn w:val="1"/>
    <w:qFormat/>
    <w:uiPriority w:val="0"/>
    <w:pPr>
      <w:ind w:firstLine="420" w:firstLineChars="200"/>
    </w:pPr>
  </w:style>
  <w:style w:type="paragraph" w:customStyle="1" w:styleId="17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内容"/>
    <w:basedOn w:val="20"/>
    <w:qFormat/>
    <w:uiPriority w:val="0"/>
  </w:style>
  <w:style w:type="paragraph" w:customStyle="1" w:styleId="180">
    <w:name w:val="xl9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1">
    <w:name w:val="p0"/>
    <w:basedOn w:val="1"/>
    <w:qFormat/>
    <w:uiPriority w:val="0"/>
    <w:pPr>
      <w:widowControl/>
    </w:pPr>
    <w:rPr>
      <w:kern w:val="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3">
    <w:name w:val="列出段落4"/>
    <w:basedOn w:val="1"/>
    <w:qFormat/>
    <w:uiPriority w:val="0"/>
    <w:pPr>
      <w:spacing w:line="360" w:lineRule="auto"/>
      <w:ind w:firstLine="420" w:firstLineChars="200"/>
      <w:jc w:val="left"/>
    </w:pPr>
    <w:rPr>
      <w:rFonts w:ascii="等线" w:hAnsi="等线" w:eastAsia="等线"/>
      <w:sz w:val="24"/>
      <w:szCs w:val="22"/>
    </w:rPr>
  </w:style>
  <w:style w:type="paragraph" w:customStyle="1" w:styleId="184">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5">
    <w:name w:val="NormalIndent"/>
    <w:basedOn w:val="1"/>
    <w:qFormat/>
    <w:uiPriority w:val="0"/>
    <w:pPr>
      <w:ind w:firstLine="420"/>
    </w:pPr>
    <w:rPr>
      <w:szCs w:val="20"/>
    </w:rPr>
  </w:style>
  <w:style w:type="paragraph" w:customStyle="1" w:styleId="18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styleId="187">
    <w:name w:val="List Paragraph"/>
    <w:basedOn w:val="1"/>
    <w:qFormat/>
    <w:uiPriority w:val="34"/>
    <w:pPr>
      <w:ind w:firstLine="420" w:firstLineChars="200"/>
    </w:pPr>
  </w:style>
  <w:style w:type="paragraph" w:customStyle="1" w:styleId="188">
    <w:name w:val="第三层标题"/>
    <w:basedOn w:val="128"/>
    <w:next w:val="128"/>
    <w:qFormat/>
    <w:uiPriority w:val="0"/>
    <w:pPr>
      <w:spacing w:before="240"/>
      <w:ind w:left="0" w:firstLine="0"/>
    </w:pPr>
  </w:style>
  <w:style w:type="paragraph" w:customStyle="1" w:styleId="189">
    <w:name w:val="xl9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0">
    <w:name w:val="xl8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91">
    <w:name w:val="Numbered list 2.3"/>
    <w:basedOn w:val="10"/>
    <w:next w:val="1"/>
    <w:qFormat/>
    <w:uiPriority w:val="0"/>
    <w:pPr>
      <w:keepLines w:val="0"/>
      <w:widowControl/>
      <w:numPr>
        <w:ilvl w:val="0"/>
        <w:numId w:val="2"/>
      </w:numPr>
      <w:tabs>
        <w:tab w:val="clear" w:pos="360"/>
      </w:tabs>
      <w:spacing w:before="240" w:after="60" w:line="240" w:lineRule="auto"/>
      <w:ind w:left="1080"/>
      <w:jc w:val="left"/>
    </w:pPr>
    <w:rPr>
      <w:rFonts w:ascii="Futura Bk" w:hAnsi="Futura Bk"/>
      <w:bCs w:val="0"/>
      <w:kern w:val="0"/>
      <w:sz w:val="22"/>
      <w:szCs w:val="20"/>
      <w:lang w:val="en-GB" w:eastAsia="en-US"/>
    </w:rPr>
  </w:style>
  <w:style w:type="paragraph" w:customStyle="1" w:styleId="19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3">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95">
    <w:name w:val="招标模板正文"/>
    <w:basedOn w:val="4"/>
    <w:qFormat/>
    <w:uiPriority w:val="0"/>
    <w:pPr>
      <w:snapToGrid w:val="0"/>
      <w:spacing w:line="360" w:lineRule="auto"/>
      <w:ind w:firstLine="408" w:firstLineChars="170"/>
    </w:pPr>
    <w:rPr>
      <w:rFonts w:ascii="微软雅黑" w:hAnsi="微软雅黑" w:eastAsia="微软雅黑"/>
      <w:color w:val="000000"/>
      <w:sz w:val="24"/>
      <w:szCs w:val="24"/>
    </w:rPr>
  </w:style>
  <w:style w:type="paragraph" w:customStyle="1" w:styleId="196">
    <w:name w:val="xl10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7">
    <w:name w:val="样式 段 + 左侧:  0.72 厘米"/>
    <w:basedOn w:val="1"/>
    <w:qFormat/>
    <w:uiPriority w:val="0"/>
    <w:pPr>
      <w:widowControl/>
      <w:autoSpaceDE w:val="0"/>
      <w:autoSpaceDN w:val="0"/>
      <w:ind w:left="406" w:firstLine="363" w:firstLineChars="173"/>
    </w:pPr>
    <w:rPr>
      <w:rFonts w:ascii="宋体"/>
      <w:kern w:val="0"/>
      <w:szCs w:val="20"/>
    </w:rPr>
  </w:style>
  <w:style w:type="paragraph" w:customStyle="1" w:styleId="198">
    <w:name w:val="1.标题"/>
    <w:basedOn w:val="10"/>
    <w:qFormat/>
    <w:uiPriority w:val="0"/>
    <w:pPr>
      <w:numPr>
        <w:ilvl w:val="0"/>
        <w:numId w:val="4"/>
      </w:numPr>
      <w:spacing w:before="0" w:after="0" w:line="360" w:lineRule="auto"/>
    </w:pPr>
    <w:rPr>
      <w:rFonts w:ascii="宋体" w:hAnsi="宋体"/>
      <w:sz w:val="21"/>
      <w:szCs w:val="21"/>
    </w:rPr>
  </w:style>
  <w:style w:type="paragraph" w:customStyle="1" w:styleId="199">
    <w:name w:val="xl99"/>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200">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01">
    <w:name w:val="Char Char Char1 Char Char Char Char Char Char Char Char Char Char Char Char Char Char Char Char Char Char1 Char"/>
    <w:basedOn w:val="1"/>
    <w:qFormat/>
    <w:uiPriority w:val="0"/>
    <w:rPr>
      <w:szCs w:val="24"/>
    </w:rPr>
  </w:style>
  <w:style w:type="paragraph" w:customStyle="1" w:styleId="202">
    <w:name w:val="Cap_Normal"/>
    <w:basedOn w:val="1"/>
    <w:qFormat/>
    <w:uiPriority w:val="0"/>
    <w:pPr>
      <w:widowControl/>
      <w:spacing w:after="120"/>
      <w:jc w:val="left"/>
    </w:pPr>
    <w:rPr>
      <w:kern w:val="0"/>
      <w:sz w:val="22"/>
      <w:szCs w:val="20"/>
    </w:rPr>
  </w:style>
  <w:style w:type="paragraph" w:customStyle="1" w:styleId="203">
    <w:name w:val="彩色列表 - 着色 11"/>
    <w:basedOn w:val="1"/>
    <w:next w:val="165"/>
    <w:qFormat/>
    <w:uiPriority w:val="0"/>
    <w:pPr>
      <w:spacing w:line="500" w:lineRule="exact"/>
      <w:ind w:firstLine="420" w:firstLineChars="200"/>
    </w:pPr>
    <w:rPr>
      <w:sz w:val="24"/>
      <w:szCs w:val="24"/>
    </w:rPr>
  </w:style>
  <w:style w:type="paragraph" w:customStyle="1" w:styleId="204">
    <w:name w:val="infoblue"/>
    <w:basedOn w:val="1"/>
    <w:qFormat/>
    <w:uiPriority w:val="0"/>
    <w:pPr>
      <w:widowControl/>
      <w:spacing w:after="120" w:line="240" w:lineRule="atLeast"/>
      <w:ind w:left="720"/>
      <w:jc w:val="left"/>
    </w:pPr>
    <w:rPr>
      <w:i/>
      <w:iCs/>
      <w:color w:val="0000FF"/>
      <w:kern w:val="0"/>
      <w:sz w:val="20"/>
      <w:szCs w:val="20"/>
    </w:rPr>
  </w:style>
  <w:style w:type="paragraph" w:customStyle="1" w:styleId="205">
    <w:name w:val="_Style 198"/>
    <w:qFormat/>
    <w:uiPriority w:val="0"/>
    <w:rPr>
      <w:rFonts w:ascii="Times New Roman" w:hAnsi="Times New Roman" w:eastAsia="宋体" w:cs="Times New Roman"/>
      <w:kern w:val="2"/>
      <w:sz w:val="21"/>
      <w:szCs w:val="21"/>
      <w:lang w:val="en-US" w:eastAsia="zh-CN" w:bidi="ar-SA"/>
    </w:rPr>
  </w:style>
  <w:style w:type="paragraph" w:customStyle="1" w:styleId="206">
    <w:name w:val="样式 宋体 四号 加粗 自定义颜(RGB(094166)) 段前: 7.8 磅 行距: 多倍行距 1.25 字行"/>
    <w:basedOn w:val="1"/>
    <w:qFormat/>
    <w:uiPriority w:val="0"/>
    <w:pPr>
      <w:numPr>
        <w:ilvl w:val="0"/>
        <w:numId w:val="5"/>
      </w:numPr>
    </w:pPr>
    <w:rPr>
      <w:szCs w:val="24"/>
    </w:rPr>
  </w:style>
  <w:style w:type="paragraph" w:customStyle="1" w:styleId="207">
    <w:name w:val="font7"/>
    <w:basedOn w:val="1"/>
    <w:qFormat/>
    <w:uiPriority w:val="0"/>
    <w:pPr>
      <w:widowControl/>
      <w:spacing w:before="100" w:beforeAutospacing="1" w:after="100" w:afterAutospacing="1"/>
      <w:jc w:val="left"/>
    </w:pPr>
    <w:rPr>
      <w:rFonts w:ascii="宋体" w:hAnsi="宋体" w:cs="宋体"/>
      <w:kern w:val="0"/>
      <w:sz w:val="18"/>
      <w:szCs w:val="18"/>
    </w:rPr>
  </w:style>
  <w:style w:type="table" w:customStyle="1" w:styleId="208">
    <w:name w:val="Table Normal"/>
    <w:qFormat/>
    <w:uiPriority w:val="0"/>
    <w:tblPr>
      <w:tblCellMar>
        <w:top w:w="0" w:type="dxa"/>
        <w:left w:w="0" w:type="dxa"/>
        <w:bottom w:w="0" w:type="dxa"/>
        <w:right w:w="0" w:type="dxa"/>
      </w:tblCellMar>
    </w:tblPr>
  </w:style>
  <w:style w:type="character" w:customStyle="1" w:styleId="209">
    <w:name w:val="(中文) 仿宋_GB2312 四号"/>
    <w:qFormat/>
    <w:uiPriority w:val="0"/>
    <w:rPr>
      <w:rFonts w:eastAsia="仿宋_GB2312"/>
      <w:position w:val="8"/>
      <w:sz w:val="28"/>
    </w:rPr>
  </w:style>
  <w:style w:type="character" w:customStyle="1" w:styleId="210">
    <w:name w:val="font41"/>
    <w:basedOn w:val="44"/>
    <w:qFormat/>
    <w:uiPriority w:val="0"/>
    <w:rPr>
      <w:rFonts w:hint="eastAsia" w:ascii="宋体" w:hAnsi="宋体" w:eastAsia="宋体" w:cs="宋体"/>
      <w:color w:val="000000"/>
      <w:sz w:val="21"/>
      <w:szCs w:val="21"/>
      <w:u w:val="none"/>
    </w:rPr>
  </w:style>
  <w:style w:type="paragraph" w:customStyle="1" w:styleId="211">
    <w:name w:val="大标题"/>
    <w:basedOn w:val="1"/>
    <w:next w:val="4"/>
    <w:qFormat/>
    <w:uiPriority w:val="0"/>
    <w:pPr>
      <w:spacing w:line="640" w:lineRule="exact"/>
      <w:jc w:val="center"/>
    </w:pPr>
    <w:rPr>
      <w:rFonts w:hint="eastAsia" w:ascii="小标宋" w:hAnsi="小标宋" w:eastAsia="小标宋" w:cs="小标宋"/>
      <w:sz w:val="44"/>
      <w:szCs w:val="44"/>
      <w:lang w:val="en"/>
    </w:rPr>
  </w:style>
  <w:style w:type="paragraph" w:customStyle="1" w:styleId="212">
    <w:name w:val="正文格式"/>
    <w:basedOn w:val="1"/>
    <w:qFormat/>
    <w:uiPriority w:val="0"/>
    <w:pPr>
      <w:spacing w:beforeLines="50" w:afterLines="50" w:line="360" w:lineRule="auto"/>
    </w:pPr>
  </w:style>
  <w:style w:type="paragraph" w:customStyle="1" w:styleId="213">
    <w:name w:val="WPSOffice手动目录 1"/>
    <w:qFormat/>
    <w:uiPriority w:val="0"/>
    <w:rPr>
      <w:rFonts w:ascii="Times New Roman" w:hAnsi="Times New Roman" w:eastAsia="宋体" w:cs="Times New Roman"/>
      <w:lang w:val="en-US" w:eastAsia="zh-CN" w:bidi="ar-SA"/>
    </w:rPr>
  </w:style>
  <w:style w:type="paragraph" w:customStyle="1" w:styleId="214">
    <w:name w:val="_Style 30"/>
    <w:basedOn w:val="4"/>
    <w:next w:val="7"/>
    <w:qFormat/>
    <w:uiPriority w:val="0"/>
    <w:pPr>
      <w:ind w:firstLine="420" w:firstLineChars="100"/>
    </w:pPr>
    <w:rPr>
      <w:szCs w:val="24"/>
    </w:rPr>
  </w:style>
  <w:style w:type="character" w:customStyle="1" w:styleId="215">
    <w:name w:val="标题 4 Char"/>
    <w:link w:val="11"/>
    <w:qFormat/>
    <w:uiPriority w:val="0"/>
    <w:rPr>
      <w:rFonts w:ascii="Times New Roman" w:hAnsi="Times New Roman" w:eastAsia="宋体"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47</Pages>
  <Words>3100</Words>
  <Characters>17670</Characters>
  <Lines>147</Lines>
  <Paragraphs>41</Paragraphs>
  <TotalTime>3</TotalTime>
  <ScaleCrop>false</ScaleCrop>
  <LinksUpToDate>false</LinksUpToDate>
  <CharactersWithSpaces>20729</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2025-09-28T09:52:00Z</dcterms:created>
  <dc:creator>Win10</dc:creator>
  <cp:lastModifiedBy>Administrator</cp:lastModifiedBy>
  <cp:lastPrinted>2024-07-04T17:15:00Z</cp:lastPrinted>
  <dcterms:modified xsi:type="dcterms:W3CDTF">2025-10-28T02:44:57Z</dcterms:modified>
  <dc:title>桂林银行议价文件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541710B1523C491BAB4BC490BB687F62_13</vt:lpwstr>
  </property>
  <property fmtid="{D5CDD505-2E9C-101B-9397-08002B2CF9AE}" pid="4" name="KSOTemplateDocerSaveRecord">
    <vt:lpwstr>eyJoZGlkIjoiYTc1M2MwNWQwMjBlMWUzZjNlNTQzNTJmMDMwYmUyOTYiLCJ1c2VySWQiOiI0MDk3MjAyODMifQ==</vt:lpwstr>
  </property>
</Properties>
</file>